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30EB2" w14:textId="48CE0915" w:rsidR="00ED589D" w:rsidRPr="001304CD" w:rsidRDefault="00ED589D" w:rsidP="005A29D0">
      <w:pPr>
        <w:widowControl w:val="0"/>
        <w:spacing w:after="62" w:line="276" w:lineRule="auto"/>
        <w:ind w:right="220"/>
        <w:rPr>
          <w:rFonts w:ascii="Arial" w:eastAsia="Century Schoolbook" w:hAnsi="Arial" w:cs="Arial"/>
          <w:b/>
          <w:bCs/>
          <w:color w:val="2F5496" w:themeColor="accent1" w:themeShade="BF"/>
          <w:sz w:val="32"/>
          <w:szCs w:val="32"/>
          <w:lang w:val="en-US"/>
        </w:rPr>
      </w:pPr>
      <w:r w:rsidRPr="001304CD">
        <w:rPr>
          <w:rFonts w:ascii="Arial" w:eastAsia="Century Schoolbook" w:hAnsi="Arial" w:cs="Arial"/>
          <w:b/>
          <w:bCs/>
          <w:color w:val="2F5496" w:themeColor="accent1" w:themeShade="BF"/>
          <w:sz w:val="32"/>
          <w:szCs w:val="32"/>
          <w:lang w:val="en-US"/>
        </w:rPr>
        <w:t>VERMIN ACT AMENDMENT BILL 19</w:t>
      </w:r>
      <w:r w:rsidR="00DF09BD" w:rsidRPr="001304CD">
        <w:rPr>
          <w:rFonts w:ascii="Arial" w:eastAsia="Century Schoolbook" w:hAnsi="Arial" w:cs="Arial"/>
          <w:b/>
          <w:bCs/>
          <w:color w:val="2F5496" w:themeColor="accent1" w:themeShade="BF"/>
          <w:sz w:val="32"/>
          <w:szCs w:val="32"/>
          <w:lang w:val="en-US"/>
        </w:rPr>
        <w:t>59</w:t>
      </w:r>
    </w:p>
    <w:p w14:paraId="233F5867" w14:textId="3D7653BE" w:rsidR="00DF09BD" w:rsidRPr="001304CD" w:rsidRDefault="00DF09BD" w:rsidP="005A29D0">
      <w:pPr>
        <w:widowControl w:val="0"/>
        <w:spacing w:after="62" w:line="276" w:lineRule="auto"/>
        <w:ind w:right="220"/>
        <w:rPr>
          <w:rFonts w:ascii="Arial" w:eastAsia="Century Schoolbook" w:hAnsi="Arial" w:cs="Arial"/>
          <w:b/>
          <w:bCs/>
          <w:color w:val="2F5496" w:themeColor="accent1" w:themeShade="BF"/>
          <w:sz w:val="28"/>
          <w:szCs w:val="28"/>
          <w:lang w:val="en-US"/>
        </w:rPr>
      </w:pPr>
      <w:r w:rsidRPr="001304CD">
        <w:rPr>
          <w:rFonts w:ascii="Arial" w:eastAsia="Century Schoolbook" w:hAnsi="Arial" w:cs="Arial"/>
          <w:b/>
          <w:bCs/>
          <w:color w:val="2F5496" w:themeColor="accent1" w:themeShade="BF"/>
          <w:sz w:val="28"/>
          <w:szCs w:val="28"/>
          <w:lang w:val="en-US"/>
        </w:rPr>
        <w:t>House of Assembly, 11 November 1959, page 1559</w:t>
      </w:r>
    </w:p>
    <w:p w14:paraId="1A079AB5" w14:textId="01B94287" w:rsidR="00ED589D" w:rsidRPr="001304CD" w:rsidRDefault="00ED589D" w:rsidP="005A29D0">
      <w:pPr>
        <w:widowControl w:val="0"/>
        <w:spacing w:after="99" w:line="276" w:lineRule="auto"/>
        <w:rPr>
          <w:rFonts w:ascii="Arial" w:eastAsia="Century Schoolbook" w:hAnsi="Arial" w:cs="Arial"/>
          <w:color w:val="2F5496" w:themeColor="accent1" w:themeShade="BF"/>
          <w:sz w:val="28"/>
          <w:szCs w:val="28"/>
          <w:lang w:val="en-US"/>
        </w:rPr>
      </w:pPr>
      <w:r w:rsidRPr="001304CD">
        <w:rPr>
          <w:rFonts w:ascii="Arial" w:eastAsia="Century Schoolbook" w:hAnsi="Arial" w:cs="Arial"/>
          <w:color w:val="2F5496" w:themeColor="accent1" w:themeShade="BF"/>
          <w:sz w:val="28"/>
          <w:szCs w:val="28"/>
          <w:lang w:val="en-US"/>
        </w:rPr>
        <w:t>Second reading</w:t>
      </w:r>
    </w:p>
    <w:p w14:paraId="1FFD9677" w14:textId="77777777" w:rsidR="005A29D0" w:rsidRDefault="005A29D0" w:rsidP="005A29D0">
      <w:pPr>
        <w:widowControl w:val="0"/>
        <w:spacing w:after="198" w:line="276" w:lineRule="auto"/>
        <w:ind w:right="60"/>
        <w:rPr>
          <w:rFonts w:ascii="Arial" w:eastAsia="Century Schoolbook" w:hAnsi="Arial" w:cs="Arial"/>
          <w:b/>
          <w:bCs/>
          <w:color w:val="000000"/>
          <w:sz w:val="24"/>
          <w:szCs w:val="24"/>
          <w:lang w:val="en-US"/>
        </w:rPr>
      </w:pPr>
    </w:p>
    <w:p w14:paraId="30C6D5A4" w14:textId="62F65A93" w:rsidR="00ED589D" w:rsidRPr="005A29D0" w:rsidRDefault="00ED589D" w:rsidP="005A29D0">
      <w:pPr>
        <w:widowControl w:val="0"/>
        <w:spacing w:after="198" w:line="276" w:lineRule="auto"/>
        <w:ind w:right="60"/>
        <w:rPr>
          <w:rFonts w:ascii="Arial" w:eastAsia="Century Schoolbook" w:hAnsi="Arial" w:cs="Arial"/>
          <w:b/>
          <w:bCs/>
          <w:color w:val="000000"/>
          <w:sz w:val="24"/>
          <w:szCs w:val="24"/>
          <w:lang w:val="en-US"/>
        </w:rPr>
      </w:pPr>
      <w:r w:rsidRPr="005A29D0">
        <w:rPr>
          <w:rFonts w:ascii="Arial" w:eastAsia="Century Schoolbook" w:hAnsi="Arial" w:cs="Arial"/>
          <w:b/>
          <w:bCs/>
          <w:color w:val="000000"/>
          <w:sz w:val="24"/>
          <w:szCs w:val="24"/>
          <w:lang w:val="en-US"/>
        </w:rPr>
        <w:t>The Hon. 0. S. HINCKS (Minister of Lands)—I move—</w:t>
      </w:r>
    </w:p>
    <w:p w14:paraId="56FEBDC8" w14:textId="77777777" w:rsidR="00ED589D" w:rsidRPr="005A29D0" w:rsidRDefault="00ED589D" w:rsidP="005A29D0">
      <w:pPr>
        <w:widowControl w:val="0"/>
        <w:spacing w:after="95" w:line="276" w:lineRule="auto"/>
        <w:ind w:right="220"/>
        <w:rPr>
          <w:rFonts w:ascii="Arial" w:eastAsia="Century Schoolbook" w:hAnsi="Arial" w:cs="Arial"/>
          <w:i/>
          <w:iCs/>
          <w:color w:val="000000"/>
          <w:spacing w:val="-10"/>
          <w:sz w:val="24"/>
          <w:szCs w:val="24"/>
          <w:lang w:val="en-US"/>
        </w:rPr>
      </w:pPr>
      <w:r w:rsidRPr="005A29D0">
        <w:rPr>
          <w:rFonts w:ascii="Arial" w:eastAsia="Century Schoolbook" w:hAnsi="Arial" w:cs="Arial"/>
          <w:i/>
          <w:iCs/>
          <w:color w:val="000000"/>
          <w:spacing w:val="-10"/>
          <w:sz w:val="24"/>
          <w:szCs w:val="24"/>
          <w:lang w:val="en-US"/>
        </w:rPr>
        <w:t xml:space="preserve">That this Bill be now read a second </w:t>
      </w:r>
      <w:r w:rsidRPr="005A29D0">
        <w:rPr>
          <w:rFonts w:ascii="Arial" w:eastAsia="Century Schoolbook" w:hAnsi="Arial" w:cs="Arial"/>
          <w:i/>
          <w:iCs/>
          <w:color w:val="000000"/>
          <w:spacing w:val="-20"/>
          <w:sz w:val="24"/>
          <w:szCs w:val="24"/>
          <w:lang w:val="en-US"/>
        </w:rPr>
        <w:t>time.</w:t>
      </w:r>
    </w:p>
    <w:p w14:paraId="05C38D42" w14:textId="385BA32F" w:rsidR="00ED589D" w:rsidRPr="005A29D0" w:rsidRDefault="00ED589D" w:rsidP="005A29D0">
      <w:pPr>
        <w:widowControl w:val="0"/>
        <w:spacing w:after="116" w:line="276" w:lineRule="auto"/>
        <w:ind w:right="60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  <w:r w:rsidRPr="005A29D0">
        <w:rPr>
          <w:rFonts w:ascii="Arial" w:eastAsia="Century Schoolbook" w:hAnsi="Arial" w:cs="Arial"/>
          <w:color w:val="000000"/>
          <w:sz w:val="24"/>
          <w:szCs w:val="24"/>
          <w:lang w:val="en-US"/>
        </w:rPr>
        <w:t>The Vermin Act, 1931-1957, provides by section 22a that an owner or occupier of land must destroy rabbit warrens after notice given, within the time specified in the notice.</w:t>
      </w:r>
      <w:r w:rsidR="005A29D0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5A29D0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It has been held by the Supreme Court that a notice to destroy rabbit warrens under this section must be reasonable in the light of all the circumstances of the </w:t>
      </w:r>
      <w:proofErr w:type="gramStart"/>
      <w:r w:rsidRPr="005A29D0">
        <w:rPr>
          <w:rFonts w:ascii="Arial" w:eastAsia="Century Schoolbook" w:hAnsi="Arial" w:cs="Arial"/>
          <w:color w:val="000000"/>
          <w:sz w:val="24"/>
          <w:szCs w:val="24"/>
          <w:lang w:val="en-US"/>
        </w:rPr>
        <w:t>particular case</w:t>
      </w:r>
      <w:proofErr w:type="gramEnd"/>
      <w:r w:rsidRPr="005A29D0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. </w:t>
      </w:r>
      <w:r w:rsidR="005A29D0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5A29D0">
        <w:rPr>
          <w:rFonts w:ascii="Arial" w:eastAsia="Century Schoolbook" w:hAnsi="Arial" w:cs="Arial"/>
          <w:color w:val="000000"/>
          <w:sz w:val="24"/>
          <w:szCs w:val="24"/>
          <w:lang w:val="en-US"/>
        </w:rPr>
        <w:t>While there can be no objection to a requirement that reasonable notice must be given it is appreciated that it is difficult for councils to be certain, in any case, whether a notice to destroy is necessarily valid.</w:t>
      </w:r>
      <w:r w:rsidR="005A29D0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5A29D0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For this </w:t>
      </w:r>
      <w:proofErr w:type="gramStart"/>
      <w:r w:rsidRPr="005A29D0">
        <w:rPr>
          <w:rFonts w:ascii="Arial" w:eastAsia="Century Schoolbook" w:hAnsi="Arial" w:cs="Arial"/>
          <w:color w:val="000000"/>
          <w:sz w:val="24"/>
          <w:szCs w:val="24"/>
          <w:lang w:val="en-US"/>
        </w:rPr>
        <w:t>reason</w:t>
      </w:r>
      <w:proofErr w:type="gramEnd"/>
      <w:r w:rsidRPr="005A29D0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the present Bill will amend section 22a by prescribing a definite period of one month for the giving of a notice, at the same time allowing councils to give longer notice if they so desire.</w:t>
      </w:r>
    </w:p>
    <w:p w14:paraId="3A0ECA29" w14:textId="5A17F43C" w:rsidR="00ED589D" w:rsidRPr="005A29D0" w:rsidRDefault="00ED589D" w:rsidP="005A29D0">
      <w:pPr>
        <w:widowControl w:val="0"/>
        <w:spacing w:after="128" w:line="276" w:lineRule="auto"/>
        <w:ind w:right="60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  <w:r w:rsidRPr="005A29D0">
        <w:rPr>
          <w:rFonts w:ascii="Arial" w:eastAsia="Century Schoolbook" w:hAnsi="Arial" w:cs="Arial"/>
          <w:color w:val="000000"/>
          <w:sz w:val="24"/>
          <w:szCs w:val="24"/>
          <w:lang w:val="en-US"/>
        </w:rPr>
        <w:t>Another difficulty which arises in the administration of the Act concerns the provision of section 23 (1) (</w:t>
      </w:r>
      <w:r w:rsidRPr="005A29D0">
        <w:rPr>
          <w:rFonts w:ascii="Arial" w:eastAsia="Century Schoolbook" w:hAnsi="Arial" w:cs="Arial"/>
          <w:i/>
          <w:iCs/>
          <w:color w:val="000000"/>
          <w:spacing w:val="-10"/>
          <w:sz w:val="24"/>
          <w:szCs w:val="24"/>
          <w:lang w:val="en-US"/>
        </w:rPr>
        <w:t>a</w:t>
      </w:r>
      <w:r w:rsidRPr="005A29D0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) that it is a </w:t>
      </w:r>
      <w:proofErr w:type="spellStart"/>
      <w:r w:rsidRPr="005A29D0">
        <w:rPr>
          <w:rFonts w:ascii="Arial" w:eastAsia="Century Schoolbook" w:hAnsi="Arial" w:cs="Arial"/>
          <w:color w:val="000000"/>
          <w:sz w:val="24"/>
          <w:szCs w:val="24"/>
          <w:lang w:val="en-US"/>
        </w:rPr>
        <w:t>defence</w:t>
      </w:r>
      <w:proofErr w:type="spellEnd"/>
      <w:r w:rsidRPr="005A29D0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to a charge for not destroying warrens after service of a notice if it can be shown that owing to the “physical features</w:t>
      </w:r>
      <w:r w:rsidR="005A29D0">
        <w:rPr>
          <w:rFonts w:ascii="Arial" w:eastAsia="Century Schoolbook" w:hAnsi="Arial" w:cs="Arial"/>
          <w:i/>
          <w:iCs/>
          <w:color w:val="000000"/>
          <w:spacing w:val="-10"/>
          <w:sz w:val="24"/>
          <w:szCs w:val="24"/>
          <w:lang w:val="en-US"/>
        </w:rPr>
        <w:t>”</w:t>
      </w:r>
      <w:r w:rsidRPr="005A29D0">
        <w:rPr>
          <w:rFonts w:ascii="Arial" w:eastAsia="Century Schoolbook" w:hAnsi="Arial" w:cs="Arial"/>
          <w:i/>
          <w:iCs/>
          <w:color w:val="000000"/>
          <w:spacing w:val="-10"/>
          <w:sz w:val="24"/>
          <w:szCs w:val="24"/>
          <w:lang w:val="en-US"/>
        </w:rPr>
        <w:t xml:space="preserve"> </w:t>
      </w:r>
      <w:r w:rsidRPr="005A29D0">
        <w:rPr>
          <w:rFonts w:ascii="Arial" w:eastAsia="Century Schoolbook" w:hAnsi="Arial" w:cs="Arial"/>
          <w:color w:val="000000"/>
          <w:sz w:val="24"/>
          <w:szCs w:val="24"/>
          <w:lang w:val="en-US"/>
        </w:rPr>
        <w:t>of the land it was not practicable to comply with the notice.</w:t>
      </w:r>
      <w:r w:rsidR="005A29D0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5A29D0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It has been argued that the expression “physical features</w:t>
      </w:r>
      <w:r w:rsidRPr="005A29D0">
        <w:rPr>
          <w:rFonts w:ascii="Arial" w:eastAsia="Century Schoolbook" w:hAnsi="Arial" w:cs="Arial"/>
          <w:i/>
          <w:iCs/>
          <w:color w:val="000000"/>
          <w:spacing w:val="-10"/>
          <w:sz w:val="24"/>
          <w:szCs w:val="24"/>
          <w:lang w:val="en-US"/>
        </w:rPr>
        <w:t>’’</w:t>
      </w:r>
      <w:r w:rsidRPr="005A29D0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can refer to merely the size of the particular land. What was contemplated by Parliament when this section was enacted was peculiar physical features such as watercourses, ravines, </w:t>
      </w:r>
      <w:proofErr w:type="gramStart"/>
      <w:r w:rsidRPr="005A29D0">
        <w:rPr>
          <w:rFonts w:ascii="Arial" w:eastAsia="Century Schoolbook" w:hAnsi="Arial" w:cs="Arial"/>
          <w:color w:val="000000"/>
          <w:sz w:val="24"/>
          <w:szCs w:val="24"/>
          <w:lang w:val="en-US"/>
        </w:rPr>
        <w:t>hills</w:t>
      </w:r>
      <w:proofErr w:type="gramEnd"/>
      <w:r w:rsidRPr="005A29D0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and the like.</w:t>
      </w:r>
      <w:r w:rsidR="005A29D0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5A29D0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Clause 4 of the Bill accordingly makes this intention quite clear.</w:t>
      </w:r>
    </w:p>
    <w:p w14:paraId="3A272726" w14:textId="64018620" w:rsidR="008F5ACB" w:rsidRPr="005A29D0" w:rsidRDefault="00ED589D" w:rsidP="005A29D0">
      <w:pPr>
        <w:spacing w:line="276" w:lineRule="auto"/>
      </w:pPr>
      <w:r w:rsidRPr="005A29D0">
        <w:rPr>
          <w:rFonts w:ascii="Arial" w:eastAsia="Courier New" w:hAnsi="Arial" w:cs="Arial"/>
          <w:color w:val="000000"/>
          <w:sz w:val="24"/>
          <w:szCs w:val="24"/>
          <w:lang w:val="en-US"/>
        </w:rPr>
        <w:t>Mr. O'HALLORAN secured the adjournment of the debate</w:t>
      </w:r>
      <w:r w:rsidRPr="005A29D0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t>.</w:t>
      </w:r>
    </w:p>
    <w:sectPr w:rsidR="008F5ACB" w:rsidRPr="005A29D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64737" w14:textId="77777777" w:rsidR="005A29D0" w:rsidRDefault="005A29D0" w:rsidP="005A29D0">
      <w:pPr>
        <w:spacing w:after="0" w:line="240" w:lineRule="auto"/>
      </w:pPr>
      <w:r>
        <w:separator/>
      </w:r>
    </w:p>
  </w:endnote>
  <w:endnote w:type="continuationSeparator" w:id="0">
    <w:p w14:paraId="2CD17A7A" w14:textId="77777777" w:rsidR="005A29D0" w:rsidRDefault="005A29D0" w:rsidP="005A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5649" w14:textId="77777777" w:rsidR="005A29D0" w:rsidRPr="005A29D0" w:rsidRDefault="005A29D0" w:rsidP="005A29D0">
    <w:pPr>
      <w:tabs>
        <w:tab w:val="center" w:pos="4513"/>
        <w:tab w:val="right" w:pos="9026"/>
      </w:tabs>
      <w:spacing w:after="0" w:line="240" w:lineRule="auto"/>
      <w:jc w:val="right"/>
      <w:rPr>
        <w:rFonts w:ascii="Arial Unicode MS" w:eastAsia="Arial Unicode MS" w:hAnsi="Arial Unicode MS" w:cs="Arial Unicode MS"/>
        <w:color w:val="548DD4"/>
        <w:sz w:val="24"/>
        <w:szCs w:val="24"/>
        <w:lang w:val="en-US"/>
      </w:rPr>
    </w:pPr>
    <w:r w:rsidRPr="005A29D0">
      <w:rPr>
        <w:rFonts w:ascii="Arial Unicode MS" w:eastAsia="Arial Unicode MS" w:hAnsi="Arial Unicode MS" w:cs="Arial Unicode MS" w:hint="eastAsia"/>
        <w:noProof/>
        <w:color w:val="548DD4"/>
        <w:sz w:val="24"/>
        <w:szCs w:val="24"/>
        <w:lang w:val="en-US"/>
      </w:rPr>
      <w:t>History of Agriculture South Australia</w:t>
    </w:r>
  </w:p>
  <w:p w14:paraId="1A9D7E37" w14:textId="77777777" w:rsidR="005A29D0" w:rsidRDefault="005A2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B1BE6" w14:textId="77777777" w:rsidR="005A29D0" w:rsidRDefault="005A29D0" w:rsidP="005A29D0">
      <w:pPr>
        <w:spacing w:after="0" w:line="240" w:lineRule="auto"/>
      </w:pPr>
      <w:r>
        <w:separator/>
      </w:r>
    </w:p>
  </w:footnote>
  <w:footnote w:type="continuationSeparator" w:id="0">
    <w:p w14:paraId="648E08AE" w14:textId="77777777" w:rsidR="005A29D0" w:rsidRDefault="005A29D0" w:rsidP="005A2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9D"/>
    <w:rsid w:val="001304CD"/>
    <w:rsid w:val="005A29D0"/>
    <w:rsid w:val="008F5ACB"/>
    <w:rsid w:val="00DF09BD"/>
    <w:rsid w:val="00ED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6420"/>
  <w15:chartTrackingRefBased/>
  <w15:docId w15:val="{DE1602C6-38F2-4821-86E0-B7C98E29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9D0"/>
  </w:style>
  <w:style w:type="paragraph" w:styleId="Footer">
    <w:name w:val="footer"/>
    <w:basedOn w:val="Normal"/>
    <w:link w:val="FooterChar"/>
    <w:uiPriority w:val="99"/>
    <w:unhideWhenUsed/>
    <w:rsid w:val="005A2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Plowman Plowman</dc:creator>
  <cp:keywords/>
  <dc:description/>
  <cp:lastModifiedBy>Plowman Plowman</cp:lastModifiedBy>
  <cp:revision>3</cp:revision>
  <dcterms:created xsi:type="dcterms:W3CDTF">2021-11-02T00:15:00Z</dcterms:created>
  <dcterms:modified xsi:type="dcterms:W3CDTF">2022-05-09T05:36:00Z</dcterms:modified>
</cp:coreProperties>
</file>