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E9" w:rsidRPr="00B06DE9" w:rsidRDefault="00B06DE9" w:rsidP="00B06DE9">
      <w:pPr>
        <w:pStyle w:val="Bodytext0"/>
        <w:shd w:val="clear" w:color="auto" w:fill="auto"/>
        <w:spacing w:line="360" w:lineRule="auto"/>
        <w:ind w:right="120" w:firstLine="0"/>
        <w:jc w:val="left"/>
        <w:rPr>
          <w:rStyle w:val="BodytextExact"/>
          <w:rFonts w:ascii="Arial" w:hAnsi="Arial" w:cs="Arial"/>
          <w:b/>
          <w:color w:val="365F91" w:themeColor="accent1" w:themeShade="BF"/>
          <w:sz w:val="32"/>
          <w:szCs w:val="32"/>
        </w:rPr>
      </w:pPr>
      <w:r w:rsidRPr="00B06DE9">
        <w:rPr>
          <w:rStyle w:val="BodytextExact"/>
          <w:rFonts w:ascii="Arial" w:hAnsi="Arial" w:cs="Arial"/>
          <w:b/>
          <w:color w:val="365F91" w:themeColor="accent1" w:themeShade="BF"/>
          <w:sz w:val="32"/>
          <w:szCs w:val="32"/>
        </w:rPr>
        <w:t>LOANS FOR FENCING AND WATER PIPING ACT AMENDMENT BILL 1952</w:t>
      </w:r>
    </w:p>
    <w:p w:rsidR="00B06DE9" w:rsidRPr="00B06DE9" w:rsidRDefault="00B06DE9" w:rsidP="00B06DE9">
      <w:pPr>
        <w:pStyle w:val="Bodytext0"/>
        <w:shd w:val="clear" w:color="auto" w:fill="auto"/>
        <w:spacing w:line="360" w:lineRule="auto"/>
        <w:ind w:right="120" w:firstLine="0"/>
        <w:jc w:val="left"/>
        <w:rPr>
          <w:rStyle w:val="BodytextExact"/>
          <w:rFonts w:ascii="Arial" w:hAnsi="Arial" w:cs="Arial"/>
          <w:b/>
          <w:color w:val="365F91" w:themeColor="accent1" w:themeShade="BF"/>
          <w:sz w:val="28"/>
          <w:szCs w:val="28"/>
        </w:rPr>
      </w:pPr>
      <w:r w:rsidRPr="00B06DE9">
        <w:rPr>
          <w:rStyle w:val="BodytextExact"/>
          <w:rFonts w:ascii="Arial" w:hAnsi="Arial" w:cs="Arial"/>
          <w:b/>
          <w:color w:val="365F91" w:themeColor="accent1" w:themeShade="BF"/>
          <w:sz w:val="28"/>
          <w:szCs w:val="28"/>
        </w:rPr>
        <w:t>Legislative Council, 12 November 1952, pages 1261-2</w:t>
      </w:r>
    </w:p>
    <w:p w:rsidR="00B06DE9" w:rsidRPr="00B06DE9" w:rsidRDefault="00B06DE9" w:rsidP="00B06DE9">
      <w:pPr>
        <w:pStyle w:val="Bodytext0"/>
        <w:shd w:val="clear" w:color="auto" w:fill="auto"/>
        <w:spacing w:line="360" w:lineRule="auto"/>
        <w:ind w:right="120" w:firstLine="0"/>
        <w:jc w:val="left"/>
        <w:rPr>
          <w:rStyle w:val="BodytextExact"/>
          <w:rFonts w:ascii="Arial" w:hAnsi="Arial" w:cs="Arial"/>
          <w:color w:val="365F91" w:themeColor="accent1" w:themeShade="BF"/>
          <w:sz w:val="28"/>
          <w:szCs w:val="28"/>
        </w:rPr>
      </w:pPr>
      <w:r w:rsidRPr="00B06DE9">
        <w:rPr>
          <w:rStyle w:val="BodytextExact"/>
          <w:rFonts w:ascii="Arial" w:hAnsi="Arial" w:cs="Arial"/>
          <w:color w:val="365F91" w:themeColor="accent1" w:themeShade="BF"/>
          <w:sz w:val="28"/>
          <w:szCs w:val="28"/>
        </w:rPr>
        <w:t>Second reading</w:t>
      </w:r>
    </w:p>
    <w:p w:rsidR="00B06DE9" w:rsidRDefault="00B06DE9" w:rsidP="00B06DE9">
      <w:pPr>
        <w:pStyle w:val="Bodytext0"/>
        <w:shd w:val="clear" w:color="auto" w:fill="auto"/>
        <w:spacing w:line="276" w:lineRule="auto"/>
        <w:ind w:right="120" w:firstLine="0"/>
        <w:jc w:val="left"/>
        <w:rPr>
          <w:rStyle w:val="BodytextExact"/>
          <w:rFonts w:ascii="Arial" w:hAnsi="Arial" w:cs="Arial"/>
          <w:sz w:val="24"/>
          <w:szCs w:val="24"/>
        </w:rPr>
      </w:pPr>
    </w:p>
    <w:p w:rsidR="00B06DE9" w:rsidRPr="00B06DE9" w:rsidRDefault="00B06DE9" w:rsidP="00B06DE9">
      <w:pPr>
        <w:pStyle w:val="Bodytext0"/>
        <w:shd w:val="clear" w:color="auto" w:fill="auto"/>
        <w:spacing w:line="276" w:lineRule="auto"/>
        <w:ind w:right="120" w:firstLine="0"/>
        <w:jc w:val="left"/>
        <w:rPr>
          <w:rFonts w:ascii="Arial" w:hAnsi="Arial" w:cs="Arial"/>
          <w:sz w:val="24"/>
          <w:szCs w:val="24"/>
        </w:rPr>
      </w:pPr>
      <w:r w:rsidRPr="00B06DE9">
        <w:rPr>
          <w:rStyle w:val="BodytextExact"/>
          <w:rFonts w:ascii="Arial" w:hAnsi="Arial" w:cs="Arial"/>
          <w:b/>
          <w:sz w:val="24"/>
          <w:szCs w:val="24"/>
        </w:rPr>
        <w:t>The Hon. A. L. McEWIN,</w:t>
      </w:r>
      <w:r w:rsidRPr="00B06DE9">
        <w:rPr>
          <w:rStyle w:val="BodytextExact"/>
          <w:rFonts w:ascii="Arial" w:hAnsi="Arial" w:cs="Arial"/>
          <w:sz w:val="24"/>
          <w:szCs w:val="24"/>
        </w:rPr>
        <w:t xml:space="preserve"> having obtained leave, introduced a Bill for an Act to amend the Loans for Fencing and Water Piping Act, 1938-45.</w:t>
      </w:r>
    </w:p>
    <w:p w:rsidR="00B06DE9" w:rsidRPr="00B06DE9" w:rsidRDefault="00B06DE9" w:rsidP="00B06DE9">
      <w:pPr>
        <w:pStyle w:val="Bodytext0"/>
        <w:shd w:val="clear" w:color="auto" w:fill="auto"/>
        <w:spacing w:after="48" w:line="276" w:lineRule="auto"/>
        <w:ind w:firstLine="0"/>
        <w:jc w:val="left"/>
        <w:rPr>
          <w:rFonts w:ascii="Arial" w:hAnsi="Arial" w:cs="Arial"/>
          <w:sz w:val="24"/>
          <w:szCs w:val="24"/>
        </w:rPr>
      </w:pPr>
      <w:r>
        <w:rPr>
          <w:rStyle w:val="BodytextExact"/>
          <w:rFonts w:ascii="Arial" w:hAnsi="Arial" w:cs="Arial"/>
          <w:sz w:val="24"/>
          <w:szCs w:val="24"/>
        </w:rPr>
        <w:t>R</w:t>
      </w:r>
      <w:r w:rsidRPr="00B06DE9">
        <w:rPr>
          <w:rStyle w:val="BodytextExact"/>
          <w:rFonts w:ascii="Arial" w:hAnsi="Arial" w:cs="Arial"/>
          <w:sz w:val="24"/>
          <w:szCs w:val="24"/>
        </w:rPr>
        <w:t>ead a first time.</w:t>
      </w:r>
    </w:p>
    <w:p w:rsidR="00B06DE9" w:rsidRDefault="00B06DE9" w:rsidP="00B06DE9">
      <w:pPr>
        <w:pStyle w:val="Bodytext0"/>
        <w:shd w:val="clear" w:color="auto" w:fill="auto"/>
        <w:spacing w:line="276" w:lineRule="auto"/>
        <w:ind w:right="120" w:firstLine="0"/>
        <w:jc w:val="left"/>
        <w:rPr>
          <w:rStyle w:val="BodytextExact"/>
          <w:rFonts w:ascii="Arial" w:hAnsi="Arial" w:cs="Arial"/>
          <w:sz w:val="24"/>
          <w:szCs w:val="24"/>
        </w:rPr>
      </w:pPr>
    </w:p>
    <w:p w:rsidR="00B06DE9" w:rsidRPr="00B06DE9" w:rsidRDefault="00B06DE9" w:rsidP="00B06DE9">
      <w:pPr>
        <w:pStyle w:val="Bodytext0"/>
        <w:shd w:val="clear" w:color="auto" w:fill="auto"/>
        <w:spacing w:line="276" w:lineRule="auto"/>
        <w:ind w:right="120" w:firstLine="0"/>
        <w:jc w:val="left"/>
        <w:rPr>
          <w:rFonts w:ascii="Arial" w:hAnsi="Arial" w:cs="Arial"/>
          <w:sz w:val="24"/>
          <w:szCs w:val="24"/>
        </w:rPr>
      </w:pPr>
      <w:r w:rsidRPr="00B06DE9">
        <w:rPr>
          <w:rStyle w:val="BodytextExact"/>
          <w:rFonts w:ascii="Arial" w:hAnsi="Arial" w:cs="Arial"/>
          <w:sz w:val="24"/>
          <w:szCs w:val="24"/>
        </w:rPr>
        <w:t>The Hon. A. L. McEWIN (Chief Secretary) —I move—•</w:t>
      </w:r>
    </w:p>
    <w:p w:rsidR="00B06DE9" w:rsidRPr="00B06DE9" w:rsidRDefault="00B06DE9" w:rsidP="00290F84">
      <w:pPr>
        <w:pStyle w:val="Bodytext0"/>
        <w:shd w:val="clear" w:color="auto" w:fill="auto"/>
        <w:spacing w:line="276" w:lineRule="auto"/>
        <w:ind w:right="120" w:firstLine="0"/>
        <w:jc w:val="left"/>
        <w:rPr>
          <w:rFonts w:ascii="Arial" w:hAnsi="Arial" w:cs="Arial"/>
          <w:sz w:val="24"/>
          <w:szCs w:val="24"/>
        </w:rPr>
      </w:pPr>
      <w:r w:rsidRPr="00B06DE9">
        <w:rPr>
          <w:rStyle w:val="BodytextExact"/>
          <w:rFonts w:ascii="Arial" w:hAnsi="Arial" w:cs="Arial"/>
          <w:sz w:val="24"/>
          <w:szCs w:val="24"/>
        </w:rPr>
        <w:t xml:space="preserve">That this Bill be now read a second time. </w:t>
      </w:r>
      <w:r w:rsidR="00290F84">
        <w:rPr>
          <w:rStyle w:val="BodytextExact"/>
          <w:rFonts w:ascii="Arial" w:hAnsi="Arial" w:cs="Arial"/>
          <w:sz w:val="24"/>
          <w:szCs w:val="24"/>
        </w:rPr>
        <w:t xml:space="preserve"> </w:t>
      </w:r>
      <w:r w:rsidRPr="00B06DE9">
        <w:rPr>
          <w:rStyle w:val="BodytextExact"/>
          <w:rFonts w:ascii="Arial" w:hAnsi="Arial" w:cs="Arial"/>
          <w:sz w:val="24"/>
          <w:szCs w:val="24"/>
        </w:rPr>
        <w:t>Section 16 of the Loans for Fencing and Water</w:t>
      </w:r>
      <w:r w:rsidR="00290F84">
        <w:rPr>
          <w:rStyle w:val="BodytextExact"/>
          <w:rFonts w:ascii="Arial" w:hAnsi="Arial" w:cs="Arial"/>
          <w:sz w:val="24"/>
          <w:szCs w:val="24"/>
        </w:rPr>
        <w:t xml:space="preserve"> Piping Act provides that, if a loan under the </w:t>
      </w:r>
      <w:r w:rsidRPr="00B06DE9">
        <w:rPr>
          <w:rStyle w:val="BodytextExact"/>
          <w:rFonts w:ascii="Arial" w:hAnsi="Arial" w:cs="Arial"/>
          <w:sz w:val="24"/>
          <w:szCs w:val="24"/>
        </w:rPr>
        <w:t xml:space="preserve">Act is made in respect of land comprised </w:t>
      </w:r>
      <w:r w:rsidR="00290F84">
        <w:rPr>
          <w:rStyle w:val="BodytextExact"/>
          <w:rFonts w:ascii="Arial" w:hAnsi="Arial" w:cs="Arial"/>
          <w:sz w:val="24"/>
          <w:szCs w:val="24"/>
        </w:rPr>
        <w:t>in a Crown lease or Crown agree</w:t>
      </w:r>
      <w:r w:rsidRPr="00B06DE9">
        <w:rPr>
          <w:rStyle w:val="BodytextExact"/>
          <w:rFonts w:ascii="Arial" w:hAnsi="Arial" w:cs="Arial"/>
          <w:sz w:val="24"/>
          <w:szCs w:val="24"/>
        </w:rPr>
        <w:t xml:space="preserve">ment and </w:t>
      </w:r>
      <w:r w:rsidR="00290F84">
        <w:rPr>
          <w:rStyle w:val="BodytextExact"/>
          <w:rFonts w:ascii="Arial" w:hAnsi="Arial" w:cs="Arial"/>
          <w:sz w:val="24"/>
          <w:szCs w:val="24"/>
        </w:rPr>
        <w:t>the lease or agreement is subse</w:t>
      </w:r>
      <w:r w:rsidRPr="00B06DE9">
        <w:rPr>
          <w:rStyle w:val="BodytextExact"/>
          <w:rFonts w:ascii="Arial" w:hAnsi="Arial" w:cs="Arial"/>
          <w:sz w:val="24"/>
          <w:szCs w:val="24"/>
        </w:rPr>
        <w:t>quentl</w:t>
      </w:r>
      <w:r w:rsidR="00290F84">
        <w:rPr>
          <w:rStyle w:val="BodytextExact"/>
          <w:rFonts w:ascii="Arial" w:hAnsi="Arial" w:cs="Arial"/>
          <w:sz w:val="24"/>
          <w:szCs w:val="24"/>
        </w:rPr>
        <w:t xml:space="preserve">y cancelled, then, if the land </w:t>
      </w:r>
      <w:r w:rsidRPr="00B06DE9">
        <w:rPr>
          <w:rStyle w:val="BodytextExact"/>
          <w:rFonts w:ascii="Arial" w:hAnsi="Arial" w:cs="Arial"/>
          <w:sz w:val="24"/>
          <w:szCs w:val="24"/>
        </w:rPr>
        <w:t xml:space="preserve"> is subsequently re-allotted under Crown lease or</w:t>
      </w:r>
      <w:r w:rsidR="00290F84">
        <w:rPr>
          <w:rFonts w:ascii="Arial" w:hAnsi="Arial" w:cs="Arial"/>
          <w:sz w:val="24"/>
          <w:szCs w:val="24"/>
        </w:rPr>
        <w:t xml:space="preserve"> </w:t>
      </w:r>
      <w:r w:rsidRPr="00B06DE9">
        <w:rPr>
          <w:rFonts w:ascii="Arial" w:hAnsi="Arial" w:cs="Arial"/>
          <w:sz w:val="24"/>
          <w:szCs w:val="24"/>
        </w:rPr>
        <w:t xml:space="preserve">agreement, the liability to pay the loan is revived and becomes a charge on the land comprised in the new lease or agreement. </w:t>
      </w:r>
      <w:r w:rsidR="00290F84">
        <w:rPr>
          <w:rFonts w:ascii="Arial" w:hAnsi="Arial" w:cs="Arial"/>
          <w:sz w:val="24"/>
          <w:szCs w:val="24"/>
        </w:rPr>
        <w:t xml:space="preserve"> </w:t>
      </w:r>
      <w:r w:rsidRPr="00B06DE9">
        <w:rPr>
          <w:rFonts w:ascii="Arial" w:hAnsi="Arial" w:cs="Arial"/>
          <w:sz w:val="24"/>
          <w:szCs w:val="24"/>
        </w:rPr>
        <w:t>The purpose of this section was as follo</w:t>
      </w:r>
      <w:r w:rsidR="00290F84">
        <w:rPr>
          <w:rFonts w:ascii="Arial" w:hAnsi="Arial" w:cs="Arial"/>
          <w:sz w:val="24"/>
          <w:szCs w:val="24"/>
        </w:rPr>
        <w:t>ws. Without some suc</w:t>
      </w:r>
      <w:r w:rsidRPr="00B06DE9">
        <w:rPr>
          <w:rFonts w:ascii="Arial" w:hAnsi="Arial" w:cs="Arial"/>
          <w:sz w:val="24"/>
          <w:szCs w:val="24"/>
        </w:rPr>
        <w:t>h enactment as that provided by section 16 the effect of the cancellation of the lease or agreement would be to wipe out the charge on the land in respect of the loan as the Crown would, on cancellation, be both the owner of the land and the body entitled to the charge on the land to secure the loan and the lesser interest would merge in the greater.</w:t>
      </w:r>
      <w:r w:rsidR="00290F84">
        <w:rPr>
          <w:rFonts w:ascii="Arial" w:hAnsi="Arial" w:cs="Arial"/>
          <w:sz w:val="24"/>
          <w:szCs w:val="24"/>
        </w:rPr>
        <w:t xml:space="preserve"> </w:t>
      </w:r>
      <w:r w:rsidRPr="00B06DE9">
        <w:rPr>
          <w:rFonts w:ascii="Arial" w:hAnsi="Arial" w:cs="Arial"/>
          <w:sz w:val="24"/>
          <w:szCs w:val="24"/>
        </w:rPr>
        <w:t xml:space="preserve"> Thus, in order that the land, on being a</w:t>
      </w:r>
      <w:r w:rsidR="00290F84">
        <w:rPr>
          <w:rFonts w:ascii="Arial" w:hAnsi="Arial" w:cs="Arial"/>
          <w:sz w:val="24"/>
          <w:szCs w:val="24"/>
        </w:rPr>
        <w:t>gain allotted on lease or agree</w:t>
      </w:r>
      <w:r w:rsidRPr="00B06DE9">
        <w:rPr>
          <w:rFonts w:ascii="Arial" w:hAnsi="Arial" w:cs="Arial"/>
          <w:sz w:val="24"/>
          <w:szCs w:val="24"/>
        </w:rPr>
        <w:t>ment should be again subject to the charge securing the loan, it was necessary to enact section 16.</w:t>
      </w:r>
    </w:p>
    <w:p w:rsidR="00290F84" w:rsidRDefault="00290F84" w:rsidP="00290F84">
      <w:pPr>
        <w:pStyle w:val="Bodytext0"/>
        <w:shd w:val="clear" w:color="auto" w:fill="auto"/>
        <w:spacing w:line="276" w:lineRule="auto"/>
        <w:ind w:left="40" w:right="40" w:firstLine="0"/>
        <w:jc w:val="left"/>
        <w:rPr>
          <w:rFonts w:ascii="Arial" w:hAnsi="Arial" w:cs="Arial"/>
          <w:sz w:val="24"/>
          <w:szCs w:val="24"/>
        </w:rPr>
      </w:pPr>
    </w:p>
    <w:p w:rsidR="00B06DE9" w:rsidRPr="00B06DE9" w:rsidRDefault="00B06DE9" w:rsidP="00290F84">
      <w:pPr>
        <w:pStyle w:val="Bodytext0"/>
        <w:shd w:val="clear" w:color="auto" w:fill="auto"/>
        <w:spacing w:line="276" w:lineRule="auto"/>
        <w:ind w:left="40" w:right="40" w:firstLine="0"/>
        <w:jc w:val="left"/>
        <w:rPr>
          <w:rFonts w:ascii="Arial" w:hAnsi="Arial" w:cs="Arial"/>
          <w:sz w:val="24"/>
          <w:szCs w:val="24"/>
        </w:rPr>
      </w:pPr>
      <w:r w:rsidRPr="00B06DE9">
        <w:rPr>
          <w:rFonts w:ascii="Arial" w:hAnsi="Arial" w:cs="Arial"/>
          <w:sz w:val="24"/>
          <w:szCs w:val="24"/>
        </w:rPr>
        <w:t>The State Bank, by which the Act is administered, has suggested th</w:t>
      </w:r>
      <w:r w:rsidR="00290F84">
        <w:rPr>
          <w:rFonts w:ascii="Arial" w:hAnsi="Arial" w:cs="Arial"/>
          <w:sz w:val="24"/>
          <w:szCs w:val="24"/>
        </w:rPr>
        <w:t>at this provision is unwieldy to</w:t>
      </w:r>
      <w:r w:rsidRPr="00B06DE9">
        <w:rPr>
          <w:rFonts w:ascii="Arial" w:hAnsi="Arial" w:cs="Arial"/>
          <w:sz w:val="24"/>
          <w:szCs w:val="24"/>
        </w:rPr>
        <w:t xml:space="preserve"> administer. </w:t>
      </w:r>
      <w:r w:rsidR="00290F84">
        <w:rPr>
          <w:rFonts w:ascii="Arial" w:hAnsi="Arial" w:cs="Arial"/>
          <w:sz w:val="24"/>
          <w:szCs w:val="24"/>
        </w:rPr>
        <w:t xml:space="preserve"> There are no pro</w:t>
      </w:r>
      <w:r w:rsidRPr="00B06DE9">
        <w:rPr>
          <w:rFonts w:ascii="Arial" w:hAnsi="Arial" w:cs="Arial"/>
          <w:sz w:val="24"/>
          <w:szCs w:val="24"/>
        </w:rPr>
        <w:t>visions similar to section 1</w:t>
      </w:r>
      <w:r w:rsidR="00290F84">
        <w:rPr>
          <w:rFonts w:ascii="Arial" w:hAnsi="Arial" w:cs="Arial"/>
          <w:sz w:val="24"/>
          <w:szCs w:val="24"/>
        </w:rPr>
        <w:t>6 in the Advances to Settlers Ac</w:t>
      </w:r>
      <w:r w:rsidRPr="00B06DE9">
        <w:rPr>
          <w:rFonts w:ascii="Arial" w:hAnsi="Arial" w:cs="Arial"/>
          <w:sz w:val="24"/>
          <w:szCs w:val="24"/>
        </w:rPr>
        <w:t>t and the Vermin Act, and, if similar circumstances arise in respect of advances made under those Acts, the advances are written off when the land reverts to the Crown and if the land is re-allotted, the Lands Department, after taking into consideration the assets created on the land by the expenditure of the advances, makes proper provision to recover t</w:t>
      </w:r>
      <w:r w:rsidR="00290F84">
        <w:rPr>
          <w:rFonts w:ascii="Arial" w:hAnsi="Arial" w:cs="Arial"/>
          <w:sz w:val="24"/>
          <w:szCs w:val="24"/>
        </w:rPr>
        <w:t>he outstanding amounts when con</w:t>
      </w:r>
      <w:r w:rsidRPr="00B06DE9">
        <w:rPr>
          <w:rFonts w:ascii="Arial" w:hAnsi="Arial" w:cs="Arial"/>
          <w:sz w:val="24"/>
          <w:szCs w:val="24"/>
        </w:rPr>
        <w:t xml:space="preserve">sidering the </w:t>
      </w:r>
      <w:r w:rsidR="00290F84">
        <w:rPr>
          <w:rFonts w:ascii="Arial" w:hAnsi="Arial" w:cs="Arial"/>
          <w:sz w:val="24"/>
          <w:szCs w:val="24"/>
        </w:rPr>
        <w:t>rent or other charges to be pay</w:t>
      </w:r>
      <w:r w:rsidRPr="00B06DE9">
        <w:rPr>
          <w:rFonts w:ascii="Arial" w:hAnsi="Arial" w:cs="Arial"/>
          <w:sz w:val="24"/>
          <w:szCs w:val="24"/>
        </w:rPr>
        <w:t xml:space="preserve">able under the new lease or agreement. </w:t>
      </w:r>
      <w:r w:rsidR="00290F84">
        <w:rPr>
          <w:rFonts w:ascii="Arial" w:hAnsi="Arial" w:cs="Arial"/>
          <w:sz w:val="24"/>
          <w:szCs w:val="24"/>
        </w:rPr>
        <w:t xml:space="preserve"> </w:t>
      </w:r>
      <w:r w:rsidRPr="00B06DE9">
        <w:rPr>
          <w:rFonts w:ascii="Arial" w:hAnsi="Arial" w:cs="Arial"/>
          <w:sz w:val="24"/>
          <w:szCs w:val="24"/>
        </w:rPr>
        <w:t>This procedure has</w:t>
      </w:r>
      <w:r w:rsidR="00290F84">
        <w:rPr>
          <w:rFonts w:ascii="Arial" w:hAnsi="Arial" w:cs="Arial"/>
          <w:sz w:val="24"/>
          <w:szCs w:val="24"/>
        </w:rPr>
        <w:t xml:space="preserve"> resulted in considerable reduc</w:t>
      </w:r>
      <w:r w:rsidRPr="00B06DE9">
        <w:rPr>
          <w:rFonts w:ascii="Arial" w:hAnsi="Arial" w:cs="Arial"/>
          <w:sz w:val="24"/>
          <w:szCs w:val="24"/>
        </w:rPr>
        <w:t>tion in admi</w:t>
      </w:r>
      <w:r w:rsidR="00290F84">
        <w:rPr>
          <w:rFonts w:ascii="Arial" w:hAnsi="Arial" w:cs="Arial"/>
          <w:sz w:val="24"/>
          <w:szCs w:val="24"/>
        </w:rPr>
        <w:t>ni</w:t>
      </w:r>
      <w:r w:rsidRPr="00B06DE9">
        <w:rPr>
          <w:rFonts w:ascii="Arial" w:hAnsi="Arial" w:cs="Arial"/>
          <w:sz w:val="24"/>
          <w:szCs w:val="24"/>
        </w:rPr>
        <w:t xml:space="preserve">strative work. </w:t>
      </w:r>
      <w:r w:rsidR="00290F84">
        <w:rPr>
          <w:rFonts w:ascii="Arial" w:hAnsi="Arial" w:cs="Arial"/>
          <w:sz w:val="24"/>
          <w:szCs w:val="24"/>
        </w:rPr>
        <w:t xml:space="preserve"> </w:t>
      </w:r>
      <w:r w:rsidRPr="00B06DE9">
        <w:rPr>
          <w:rFonts w:ascii="Arial" w:hAnsi="Arial" w:cs="Arial"/>
          <w:sz w:val="24"/>
          <w:szCs w:val="24"/>
        </w:rPr>
        <w:t>It is therefore proposed that a similar procedure be followed under the Loans for Fencing and Water Piping Act, and clause 2 provides that, in the future, when a Crown lease or agreement subject to a loan under the Act, reverts to the Crown, the charge provided as security for the loan will not be revived when the land is again allotted.</w:t>
      </w:r>
      <w:r w:rsidR="00290F84">
        <w:rPr>
          <w:rFonts w:ascii="Arial" w:hAnsi="Arial" w:cs="Arial"/>
          <w:sz w:val="24"/>
          <w:szCs w:val="24"/>
        </w:rPr>
        <w:t xml:space="preserve"> </w:t>
      </w:r>
      <w:r w:rsidRPr="00B06DE9">
        <w:rPr>
          <w:rFonts w:ascii="Arial" w:hAnsi="Arial" w:cs="Arial"/>
          <w:sz w:val="24"/>
          <w:szCs w:val="24"/>
        </w:rPr>
        <w:t xml:space="preserve"> It will be for the Lands Department to fix the rent or other charges payable under the new Crown lease or agreement so </w:t>
      </w:r>
      <w:r w:rsidRPr="00B06DE9">
        <w:rPr>
          <w:rFonts w:ascii="Arial" w:hAnsi="Arial" w:cs="Arial"/>
          <w:sz w:val="24"/>
          <w:szCs w:val="24"/>
        </w:rPr>
        <w:lastRenderedPageBreak/>
        <w:t>that the un</w:t>
      </w:r>
      <w:r w:rsidR="00290F84">
        <w:rPr>
          <w:rFonts w:ascii="Arial" w:hAnsi="Arial" w:cs="Arial"/>
          <w:sz w:val="24"/>
          <w:szCs w:val="24"/>
        </w:rPr>
        <w:t>-</w:t>
      </w:r>
      <w:r w:rsidRPr="00B06DE9">
        <w:rPr>
          <w:rFonts w:ascii="Arial" w:hAnsi="Arial" w:cs="Arial"/>
          <w:sz w:val="24"/>
          <w:szCs w:val="24"/>
        </w:rPr>
        <w:t>repaid amount of the loan will be recouped to the general revenue.</w:t>
      </w:r>
    </w:p>
    <w:p w:rsidR="00290F84" w:rsidRDefault="00290F84" w:rsidP="00290F84">
      <w:pPr>
        <w:pStyle w:val="Bodytext0"/>
        <w:shd w:val="clear" w:color="auto" w:fill="auto"/>
        <w:spacing w:after="138" w:line="276" w:lineRule="auto"/>
        <w:ind w:right="40" w:firstLine="0"/>
        <w:jc w:val="left"/>
        <w:rPr>
          <w:rFonts w:ascii="Arial" w:hAnsi="Arial" w:cs="Arial"/>
          <w:sz w:val="24"/>
          <w:szCs w:val="24"/>
        </w:rPr>
      </w:pPr>
    </w:p>
    <w:p w:rsidR="00B06DE9" w:rsidRPr="00B06DE9" w:rsidRDefault="00B06DE9" w:rsidP="00290F84">
      <w:pPr>
        <w:pStyle w:val="Bodytext0"/>
        <w:shd w:val="clear" w:color="auto" w:fill="auto"/>
        <w:spacing w:after="138" w:line="276" w:lineRule="auto"/>
        <w:ind w:right="40" w:firstLine="0"/>
        <w:jc w:val="left"/>
        <w:rPr>
          <w:rFonts w:ascii="Arial" w:hAnsi="Arial" w:cs="Arial"/>
          <w:sz w:val="24"/>
          <w:szCs w:val="24"/>
        </w:rPr>
      </w:pPr>
      <w:r w:rsidRPr="00B06DE9">
        <w:rPr>
          <w:rFonts w:ascii="Arial" w:hAnsi="Arial" w:cs="Arial"/>
          <w:sz w:val="24"/>
          <w:szCs w:val="24"/>
        </w:rPr>
        <w:t>The Hon. F. J. CONDON secured the adjournment of the debate.</w:t>
      </w:r>
    </w:p>
    <w:sectPr w:rsidR="00B06DE9" w:rsidRPr="00B06DE9" w:rsidSect="00AD43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C8" w:rsidRPr="00426E42" w:rsidRDefault="005778C8" w:rsidP="00290F84">
      <w:pPr>
        <w:spacing w:after="0" w:line="240" w:lineRule="auto"/>
      </w:pPr>
      <w:r>
        <w:separator/>
      </w:r>
    </w:p>
  </w:endnote>
  <w:endnote w:type="continuationSeparator" w:id="1">
    <w:p w:rsidR="005778C8" w:rsidRPr="00426E42" w:rsidRDefault="005778C8" w:rsidP="0029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84" w:rsidRDefault="00290F84" w:rsidP="00290F84">
    <w:pPr>
      <w:pStyle w:val="Footer"/>
      <w:jc w:val="right"/>
      <w:rPr>
        <w:color w:val="548DD4" w:themeColor="text2" w:themeTint="99"/>
      </w:rPr>
    </w:pPr>
    <w:r>
      <w:rPr>
        <w:rFonts w:hint="eastAsia"/>
        <w:noProof/>
        <w:color w:val="548DD4" w:themeColor="text2" w:themeTint="99"/>
      </w:rPr>
      <w:t>History of Agriculture South Australia</w:t>
    </w:r>
  </w:p>
  <w:p w:rsidR="00290F84" w:rsidRDefault="00290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C8" w:rsidRPr="00426E42" w:rsidRDefault="005778C8" w:rsidP="00290F84">
      <w:pPr>
        <w:spacing w:after="0" w:line="240" w:lineRule="auto"/>
      </w:pPr>
      <w:r>
        <w:separator/>
      </w:r>
    </w:p>
  </w:footnote>
  <w:footnote w:type="continuationSeparator" w:id="1">
    <w:p w:rsidR="005778C8" w:rsidRPr="00426E42" w:rsidRDefault="005778C8" w:rsidP="00290F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6DE9"/>
    <w:rsid w:val="00290F84"/>
    <w:rsid w:val="00545C29"/>
    <w:rsid w:val="005778C8"/>
    <w:rsid w:val="00AD432F"/>
    <w:rsid w:val="00B06DE9"/>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B06DE9"/>
    <w:rPr>
      <w:rFonts w:ascii="Century Schoolbook" w:eastAsia="Century Schoolbook" w:hAnsi="Century Schoolbook" w:cs="Century Schoolbook"/>
      <w:sz w:val="14"/>
      <w:szCs w:val="14"/>
      <w:shd w:val="clear" w:color="auto" w:fill="FFFFFF"/>
    </w:rPr>
  </w:style>
  <w:style w:type="character" w:customStyle="1" w:styleId="BodytextExact">
    <w:name w:val="Body text Exact"/>
    <w:basedOn w:val="DefaultParagraphFont"/>
    <w:rsid w:val="00B06DE9"/>
    <w:rPr>
      <w:rFonts w:ascii="Century Schoolbook" w:eastAsia="Century Schoolbook" w:hAnsi="Century Schoolbook" w:cs="Century Schoolbook"/>
      <w:b w:val="0"/>
      <w:bCs w:val="0"/>
      <w:i w:val="0"/>
      <w:iCs w:val="0"/>
      <w:smallCaps w:val="0"/>
      <w:strike w:val="0"/>
      <w:spacing w:val="1"/>
      <w:sz w:val="13"/>
      <w:szCs w:val="13"/>
      <w:u w:val="none"/>
    </w:rPr>
  </w:style>
  <w:style w:type="paragraph" w:customStyle="1" w:styleId="Bodytext0">
    <w:name w:val="Body text"/>
    <w:basedOn w:val="Normal"/>
    <w:link w:val="Bodytext"/>
    <w:rsid w:val="00B06DE9"/>
    <w:pPr>
      <w:widowControl w:val="0"/>
      <w:shd w:val="clear" w:color="auto" w:fill="FFFFFF"/>
      <w:spacing w:after="0" w:line="202" w:lineRule="exact"/>
      <w:ind w:hanging="480"/>
      <w:jc w:val="both"/>
    </w:pPr>
    <w:rPr>
      <w:rFonts w:ascii="Century Schoolbook" w:eastAsia="Century Schoolbook" w:hAnsi="Century Schoolbook" w:cs="Century Schoolbook"/>
      <w:sz w:val="14"/>
      <w:szCs w:val="14"/>
    </w:rPr>
  </w:style>
  <w:style w:type="paragraph" w:styleId="Header">
    <w:name w:val="header"/>
    <w:basedOn w:val="Normal"/>
    <w:link w:val="HeaderChar"/>
    <w:uiPriority w:val="99"/>
    <w:semiHidden/>
    <w:unhideWhenUsed/>
    <w:rsid w:val="00290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0F84"/>
  </w:style>
  <w:style w:type="paragraph" w:styleId="Footer">
    <w:name w:val="footer"/>
    <w:basedOn w:val="Normal"/>
    <w:link w:val="FooterChar"/>
    <w:uiPriority w:val="99"/>
    <w:semiHidden/>
    <w:unhideWhenUsed/>
    <w:rsid w:val="00290F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0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2021-04-08T06:59:00Z</dcterms:created>
  <dcterms:modified xsi:type="dcterms:W3CDTF">2021-04-08T19:30:00Z</dcterms:modified>
</cp:coreProperties>
</file>