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C272" w14:textId="63D340B6" w:rsidR="00335EDF" w:rsidRPr="00944CE2" w:rsidRDefault="00944CE2" w:rsidP="00335EDF">
      <w:pPr>
        <w:spacing w:after="0"/>
        <w:rPr>
          <w:rStyle w:val="Headerorfooter75pt"/>
          <w:rFonts w:ascii="Arial" w:eastAsia="Arial Unicode MS" w:hAnsi="Arial" w:cs="Arial"/>
          <w:i w:val="0"/>
          <w:iCs w:val="0"/>
          <w:color w:val="00439E"/>
          <w:spacing w:val="1"/>
          <w:sz w:val="32"/>
          <w:szCs w:val="32"/>
          <w:lang w:val="en-AU" w:eastAsia="en-AU"/>
        </w:rPr>
      </w:pPr>
      <w:r w:rsidRPr="00944CE2">
        <w:rPr>
          <w:rStyle w:val="Headerorfooter75pt"/>
          <w:rFonts w:ascii="Arial" w:eastAsia="Arial Unicode MS" w:hAnsi="Arial" w:cs="Arial"/>
          <w:i w:val="0"/>
          <w:iCs w:val="0"/>
          <w:color w:val="00439E"/>
          <w:spacing w:val="1"/>
          <w:sz w:val="32"/>
          <w:szCs w:val="32"/>
          <w:lang w:val="en-AU" w:eastAsia="en-AU"/>
        </w:rPr>
        <w:t>FRUIT AND PLANT PROTECTION ACT AMENDMENT BILL 1976</w:t>
      </w:r>
    </w:p>
    <w:p w14:paraId="569AF3F8" w14:textId="77777777" w:rsidR="00335EDF" w:rsidRPr="00335EDF" w:rsidRDefault="00335EDF" w:rsidP="00335EDF">
      <w:pPr>
        <w:spacing w:after="0"/>
        <w:rPr>
          <w:rFonts w:ascii="Arial" w:hAnsi="Arial" w:cs="Arial"/>
          <w:sz w:val="24"/>
          <w:szCs w:val="24"/>
        </w:rPr>
      </w:pPr>
    </w:p>
    <w:p w14:paraId="111A0F81" w14:textId="51451288" w:rsidR="00335EDF" w:rsidRPr="00944CE2" w:rsidRDefault="00335EDF" w:rsidP="00335EDF">
      <w:pPr>
        <w:spacing w:after="0"/>
        <w:rPr>
          <w:rStyle w:val="Headerorfooter75pt"/>
          <w:rFonts w:ascii="Arial" w:eastAsia="Arial Unicode MS" w:hAnsi="Arial" w:cs="Arial"/>
          <w:i w:val="0"/>
          <w:iCs w:val="0"/>
          <w:color w:val="00439E"/>
          <w:spacing w:val="1"/>
          <w:sz w:val="28"/>
          <w:szCs w:val="28"/>
          <w:lang w:val="en-AU" w:eastAsia="en-AU"/>
        </w:rPr>
      </w:pPr>
      <w:r w:rsidRPr="00944CE2">
        <w:rPr>
          <w:rStyle w:val="Headerorfooter75pt"/>
          <w:rFonts w:ascii="Arial" w:eastAsia="Arial Unicode MS" w:hAnsi="Arial" w:cs="Arial"/>
          <w:i w:val="0"/>
          <w:iCs w:val="0"/>
          <w:color w:val="00439E"/>
          <w:spacing w:val="1"/>
          <w:sz w:val="28"/>
          <w:szCs w:val="28"/>
          <w:lang w:val="en-AU" w:eastAsia="en-AU"/>
        </w:rPr>
        <w:t>L</w:t>
      </w:r>
      <w:r w:rsidR="00CA7A8C">
        <w:rPr>
          <w:rStyle w:val="Headerorfooter75pt"/>
          <w:rFonts w:ascii="Arial" w:eastAsia="Arial Unicode MS" w:hAnsi="Arial" w:cs="Arial"/>
          <w:i w:val="0"/>
          <w:iCs w:val="0"/>
          <w:color w:val="00439E"/>
          <w:spacing w:val="1"/>
          <w:sz w:val="28"/>
          <w:szCs w:val="28"/>
          <w:lang w:val="en-AU" w:eastAsia="en-AU"/>
        </w:rPr>
        <w:t>egislative</w:t>
      </w:r>
      <w:r w:rsidRPr="00944CE2">
        <w:rPr>
          <w:rStyle w:val="Headerorfooter75pt"/>
          <w:rFonts w:ascii="Arial" w:eastAsia="Arial Unicode MS" w:hAnsi="Arial" w:cs="Arial"/>
          <w:i w:val="0"/>
          <w:iCs w:val="0"/>
          <w:color w:val="00439E"/>
          <w:spacing w:val="1"/>
          <w:sz w:val="28"/>
          <w:szCs w:val="28"/>
          <w:lang w:val="en-AU" w:eastAsia="en-AU"/>
        </w:rPr>
        <w:t xml:space="preserve"> C</w:t>
      </w:r>
      <w:r w:rsidR="00CA7A8C">
        <w:rPr>
          <w:rStyle w:val="Headerorfooter75pt"/>
          <w:rFonts w:ascii="Arial" w:eastAsia="Arial Unicode MS" w:hAnsi="Arial" w:cs="Arial"/>
          <w:i w:val="0"/>
          <w:iCs w:val="0"/>
          <w:color w:val="00439E"/>
          <w:spacing w:val="1"/>
          <w:sz w:val="28"/>
          <w:szCs w:val="28"/>
          <w:lang w:val="en-AU" w:eastAsia="en-AU"/>
        </w:rPr>
        <w:t>ouncil</w:t>
      </w:r>
      <w:r w:rsidRPr="00944CE2">
        <w:rPr>
          <w:rStyle w:val="Headerorfooter75pt"/>
          <w:rFonts w:ascii="Arial" w:eastAsia="Arial Unicode MS" w:hAnsi="Arial" w:cs="Arial"/>
          <w:i w:val="0"/>
          <w:iCs w:val="0"/>
          <w:color w:val="00439E"/>
          <w:spacing w:val="1"/>
          <w:sz w:val="28"/>
          <w:szCs w:val="28"/>
          <w:lang w:val="en-AU" w:eastAsia="en-AU"/>
        </w:rPr>
        <w:t>, 29 J</w:t>
      </w:r>
      <w:r w:rsidR="00CA7A8C">
        <w:rPr>
          <w:rStyle w:val="Headerorfooter75pt"/>
          <w:rFonts w:ascii="Arial" w:eastAsia="Arial Unicode MS" w:hAnsi="Arial" w:cs="Arial"/>
          <w:i w:val="0"/>
          <w:iCs w:val="0"/>
          <w:color w:val="00439E"/>
          <w:spacing w:val="1"/>
          <w:sz w:val="28"/>
          <w:szCs w:val="28"/>
          <w:lang w:val="en-AU" w:eastAsia="en-AU"/>
        </w:rPr>
        <w:t>uly</w:t>
      </w:r>
      <w:r w:rsidRPr="00944CE2">
        <w:rPr>
          <w:rStyle w:val="Headerorfooter75pt"/>
          <w:rFonts w:ascii="Arial" w:eastAsia="Arial Unicode MS" w:hAnsi="Arial" w:cs="Arial"/>
          <w:i w:val="0"/>
          <w:iCs w:val="0"/>
          <w:color w:val="00439E"/>
          <w:spacing w:val="1"/>
          <w:sz w:val="28"/>
          <w:szCs w:val="28"/>
          <w:lang w:val="en-AU" w:eastAsia="en-AU"/>
        </w:rPr>
        <w:t xml:space="preserve"> 1976, </w:t>
      </w:r>
      <w:r w:rsidR="00CA7A8C">
        <w:rPr>
          <w:rStyle w:val="Headerorfooter75pt"/>
          <w:rFonts w:ascii="Arial" w:eastAsia="Arial Unicode MS" w:hAnsi="Arial" w:cs="Arial"/>
          <w:i w:val="0"/>
          <w:iCs w:val="0"/>
          <w:color w:val="00439E"/>
          <w:spacing w:val="1"/>
          <w:sz w:val="28"/>
          <w:szCs w:val="28"/>
          <w:lang w:val="en-AU" w:eastAsia="en-AU"/>
        </w:rPr>
        <w:t>page</w:t>
      </w:r>
      <w:r w:rsidRPr="00944CE2">
        <w:rPr>
          <w:rStyle w:val="Headerorfooter75pt"/>
          <w:rFonts w:ascii="Arial" w:eastAsia="Arial Unicode MS" w:hAnsi="Arial" w:cs="Arial"/>
          <w:i w:val="0"/>
          <w:iCs w:val="0"/>
          <w:color w:val="00439E"/>
          <w:spacing w:val="1"/>
          <w:sz w:val="28"/>
          <w:szCs w:val="28"/>
          <w:lang w:val="en-AU" w:eastAsia="en-AU"/>
        </w:rPr>
        <w:t xml:space="preserve"> 301</w:t>
      </w:r>
    </w:p>
    <w:p w14:paraId="1CC62E83" w14:textId="77777777" w:rsidR="00335EDF" w:rsidRPr="00335EDF" w:rsidRDefault="00335EDF" w:rsidP="00335EDF">
      <w:pPr>
        <w:spacing w:after="0"/>
        <w:rPr>
          <w:rFonts w:ascii="Arial" w:hAnsi="Arial" w:cs="Arial"/>
          <w:sz w:val="24"/>
          <w:szCs w:val="24"/>
        </w:rPr>
      </w:pPr>
    </w:p>
    <w:p w14:paraId="6C637DFD" w14:textId="1F72DEF1" w:rsidR="00335EDF" w:rsidRPr="00CA7A8C" w:rsidRDefault="00335EDF" w:rsidP="00335EDF">
      <w:pPr>
        <w:spacing w:after="0"/>
        <w:rPr>
          <w:rStyle w:val="Headerorfooter75pt"/>
          <w:rFonts w:ascii="Arial" w:eastAsia="Arial Unicode MS" w:hAnsi="Arial" w:cs="Arial"/>
          <w:b w:val="0"/>
          <w:bCs w:val="0"/>
          <w:i w:val="0"/>
          <w:iCs w:val="0"/>
          <w:color w:val="00439E"/>
          <w:spacing w:val="1"/>
          <w:sz w:val="28"/>
          <w:szCs w:val="28"/>
          <w:lang w:val="en-AU" w:eastAsia="en-AU"/>
        </w:rPr>
      </w:pPr>
      <w:r w:rsidRPr="00CA7A8C">
        <w:rPr>
          <w:rStyle w:val="Headerorfooter75pt"/>
          <w:rFonts w:ascii="Arial" w:eastAsia="Arial Unicode MS" w:hAnsi="Arial" w:cs="Arial"/>
          <w:b w:val="0"/>
          <w:bCs w:val="0"/>
          <w:i w:val="0"/>
          <w:iCs w:val="0"/>
          <w:color w:val="00439E"/>
          <w:spacing w:val="1"/>
          <w:sz w:val="28"/>
          <w:szCs w:val="28"/>
          <w:lang w:val="en-AU" w:eastAsia="en-AU"/>
        </w:rPr>
        <w:t xml:space="preserve">Second </w:t>
      </w:r>
      <w:r w:rsidR="00CA7A8C" w:rsidRPr="00CA7A8C">
        <w:rPr>
          <w:rStyle w:val="Headerorfooter75pt"/>
          <w:rFonts w:ascii="Arial" w:eastAsia="Arial Unicode MS" w:hAnsi="Arial" w:cs="Arial"/>
          <w:b w:val="0"/>
          <w:bCs w:val="0"/>
          <w:i w:val="0"/>
          <w:iCs w:val="0"/>
          <w:color w:val="00439E"/>
          <w:spacing w:val="1"/>
          <w:sz w:val="28"/>
          <w:szCs w:val="28"/>
          <w:lang w:val="en-AU" w:eastAsia="en-AU"/>
        </w:rPr>
        <w:t>r</w:t>
      </w:r>
      <w:r w:rsidRPr="00CA7A8C">
        <w:rPr>
          <w:rStyle w:val="Headerorfooter75pt"/>
          <w:rFonts w:ascii="Arial" w:eastAsia="Arial Unicode MS" w:hAnsi="Arial" w:cs="Arial"/>
          <w:b w:val="0"/>
          <w:bCs w:val="0"/>
          <w:i w:val="0"/>
          <w:iCs w:val="0"/>
          <w:color w:val="00439E"/>
          <w:spacing w:val="1"/>
          <w:sz w:val="28"/>
          <w:szCs w:val="28"/>
          <w:lang w:val="en-AU" w:eastAsia="en-AU"/>
        </w:rPr>
        <w:t>eading</w:t>
      </w:r>
    </w:p>
    <w:p w14:paraId="0029ACBE" w14:textId="77777777" w:rsidR="00335EDF" w:rsidRPr="00335EDF" w:rsidRDefault="00335EDF" w:rsidP="00335EDF">
      <w:pPr>
        <w:spacing w:after="0"/>
        <w:rPr>
          <w:rFonts w:ascii="Arial" w:hAnsi="Arial" w:cs="Arial"/>
          <w:sz w:val="24"/>
          <w:szCs w:val="24"/>
        </w:rPr>
      </w:pPr>
    </w:p>
    <w:p w14:paraId="0D2E14CC" w14:textId="77777777" w:rsidR="00944CE2" w:rsidRDefault="00335EDF" w:rsidP="00335EDF">
      <w:pPr>
        <w:spacing w:after="0"/>
        <w:rPr>
          <w:rFonts w:ascii="Arial" w:hAnsi="Arial" w:cs="Arial"/>
          <w:sz w:val="24"/>
          <w:szCs w:val="24"/>
        </w:rPr>
      </w:pPr>
      <w:r w:rsidRPr="00CA7A8C">
        <w:rPr>
          <w:rFonts w:ascii="Arial" w:hAnsi="Arial" w:cs="Arial"/>
          <w:b/>
          <w:bCs/>
          <w:sz w:val="24"/>
          <w:szCs w:val="24"/>
        </w:rPr>
        <w:t>The Hon. B. A. CHATTERTON (Minister of Agriculture and Fisheries):</w:t>
      </w:r>
      <w:r w:rsidRPr="00335EDF">
        <w:rPr>
          <w:rFonts w:ascii="Arial" w:hAnsi="Arial" w:cs="Arial"/>
          <w:sz w:val="24"/>
          <w:szCs w:val="24"/>
        </w:rPr>
        <w:t xml:space="preserve"> I move: </w:t>
      </w:r>
    </w:p>
    <w:p w14:paraId="30784C40" w14:textId="77777777" w:rsidR="00944CE2" w:rsidRDefault="00335EDF" w:rsidP="00335EDF">
      <w:pPr>
        <w:spacing w:after="0"/>
        <w:rPr>
          <w:rFonts w:ascii="Arial" w:hAnsi="Arial" w:cs="Arial"/>
          <w:sz w:val="24"/>
          <w:szCs w:val="24"/>
        </w:rPr>
      </w:pPr>
      <w:r w:rsidRPr="00944CE2">
        <w:rPr>
          <w:rFonts w:ascii="Arial" w:hAnsi="Arial" w:cs="Arial"/>
          <w:i/>
          <w:iCs/>
          <w:sz w:val="24"/>
          <w:szCs w:val="24"/>
        </w:rPr>
        <w:t>That this Bill be now read a second time.</w:t>
      </w:r>
      <w:r w:rsidRPr="00335EDF">
        <w:rPr>
          <w:rFonts w:ascii="Arial" w:hAnsi="Arial" w:cs="Arial"/>
          <w:sz w:val="24"/>
          <w:szCs w:val="24"/>
        </w:rPr>
        <w:t xml:space="preserve"> </w:t>
      </w:r>
    </w:p>
    <w:p w14:paraId="5903033C" w14:textId="77777777" w:rsidR="00944CE2" w:rsidRDefault="00944CE2" w:rsidP="00335EDF">
      <w:pPr>
        <w:spacing w:after="0"/>
        <w:rPr>
          <w:rFonts w:ascii="Arial" w:hAnsi="Arial" w:cs="Arial"/>
          <w:sz w:val="24"/>
          <w:szCs w:val="24"/>
        </w:rPr>
      </w:pPr>
    </w:p>
    <w:p w14:paraId="0A676B52" w14:textId="77777777" w:rsidR="00944CE2" w:rsidRDefault="00335EDF" w:rsidP="00335EDF">
      <w:pPr>
        <w:spacing w:after="0"/>
        <w:rPr>
          <w:rFonts w:ascii="Arial" w:hAnsi="Arial" w:cs="Arial"/>
          <w:sz w:val="24"/>
          <w:szCs w:val="24"/>
        </w:rPr>
      </w:pPr>
      <w:r w:rsidRPr="00335EDF">
        <w:rPr>
          <w:rFonts w:ascii="Arial" w:hAnsi="Arial" w:cs="Arial"/>
          <w:sz w:val="24"/>
          <w:szCs w:val="24"/>
        </w:rPr>
        <w:t xml:space="preserve">I seek leave to have the second reading explanation inserted in </w:t>
      </w:r>
      <w:r w:rsidRPr="00944CE2">
        <w:rPr>
          <w:rFonts w:ascii="Arial" w:hAnsi="Arial" w:cs="Arial"/>
          <w:i/>
          <w:iCs/>
          <w:sz w:val="24"/>
          <w:szCs w:val="24"/>
        </w:rPr>
        <w:t>Hansard</w:t>
      </w:r>
      <w:r w:rsidRPr="00335EDF">
        <w:rPr>
          <w:rFonts w:ascii="Arial" w:hAnsi="Arial" w:cs="Arial"/>
          <w:sz w:val="24"/>
          <w:szCs w:val="24"/>
        </w:rPr>
        <w:t xml:space="preserve"> without my reading it. </w:t>
      </w:r>
    </w:p>
    <w:p w14:paraId="03246BCB" w14:textId="77777777" w:rsidR="00944CE2" w:rsidRDefault="00944CE2" w:rsidP="00335EDF">
      <w:pPr>
        <w:spacing w:after="0"/>
        <w:rPr>
          <w:rFonts w:ascii="Arial" w:hAnsi="Arial" w:cs="Arial"/>
          <w:sz w:val="24"/>
          <w:szCs w:val="24"/>
        </w:rPr>
      </w:pPr>
    </w:p>
    <w:p w14:paraId="137B834F" w14:textId="77777777" w:rsidR="00944CE2" w:rsidRDefault="00335EDF" w:rsidP="00335EDF">
      <w:pPr>
        <w:spacing w:after="0"/>
        <w:rPr>
          <w:rFonts w:ascii="Arial" w:hAnsi="Arial" w:cs="Arial"/>
          <w:sz w:val="24"/>
          <w:szCs w:val="24"/>
        </w:rPr>
      </w:pPr>
      <w:r w:rsidRPr="00335EDF">
        <w:rPr>
          <w:rFonts w:ascii="Arial" w:hAnsi="Arial" w:cs="Arial"/>
          <w:sz w:val="24"/>
          <w:szCs w:val="24"/>
        </w:rPr>
        <w:t xml:space="preserve">Leave granted. </w:t>
      </w:r>
    </w:p>
    <w:p w14:paraId="52D0EE7F" w14:textId="77777777" w:rsidR="00944CE2" w:rsidRDefault="00944CE2" w:rsidP="00335EDF">
      <w:pPr>
        <w:spacing w:after="0"/>
        <w:rPr>
          <w:rFonts w:ascii="Arial" w:hAnsi="Arial" w:cs="Arial"/>
          <w:sz w:val="24"/>
          <w:szCs w:val="24"/>
        </w:rPr>
      </w:pPr>
    </w:p>
    <w:p w14:paraId="0C96F956" w14:textId="148DFA18" w:rsidR="00944CE2" w:rsidRPr="00944CE2" w:rsidRDefault="00335EDF" w:rsidP="00944CE2">
      <w:pPr>
        <w:spacing w:after="0"/>
        <w:jc w:val="center"/>
        <w:rPr>
          <w:rFonts w:ascii="Arial" w:hAnsi="Arial" w:cs="Arial"/>
          <w:smallCaps/>
          <w:sz w:val="24"/>
          <w:szCs w:val="24"/>
        </w:rPr>
      </w:pPr>
      <w:r w:rsidRPr="00944CE2">
        <w:rPr>
          <w:rFonts w:ascii="Arial" w:hAnsi="Arial" w:cs="Arial"/>
          <w:smallCaps/>
          <w:sz w:val="24"/>
          <w:szCs w:val="24"/>
        </w:rPr>
        <w:t>Explanation of Bill</w:t>
      </w:r>
    </w:p>
    <w:p w14:paraId="5EE86595" w14:textId="77777777" w:rsidR="00944CE2" w:rsidRDefault="00944CE2" w:rsidP="00335EDF">
      <w:pPr>
        <w:spacing w:after="0"/>
        <w:rPr>
          <w:rFonts w:ascii="Arial" w:hAnsi="Arial" w:cs="Arial"/>
          <w:sz w:val="24"/>
          <w:szCs w:val="24"/>
        </w:rPr>
      </w:pPr>
    </w:p>
    <w:p w14:paraId="596F7203" w14:textId="7A066DF4" w:rsidR="00944CE2" w:rsidRDefault="00335EDF" w:rsidP="00335EDF">
      <w:pPr>
        <w:spacing w:after="0"/>
        <w:rPr>
          <w:rFonts w:ascii="Arial" w:hAnsi="Arial" w:cs="Arial"/>
          <w:sz w:val="24"/>
          <w:szCs w:val="24"/>
        </w:rPr>
      </w:pPr>
      <w:r w:rsidRPr="00335EDF">
        <w:rPr>
          <w:rFonts w:ascii="Arial" w:hAnsi="Arial" w:cs="Arial"/>
          <w:sz w:val="24"/>
          <w:szCs w:val="24"/>
        </w:rPr>
        <w:t>It amends the Fruit and Plant Protection Act in two respects</w:t>
      </w:r>
      <w:proofErr w:type="gramStart"/>
      <w:r w:rsidRPr="00335EDF">
        <w:rPr>
          <w:rFonts w:ascii="Arial" w:hAnsi="Arial" w:cs="Arial"/>
          <w:sz w:val="24"/>
          <w:szCs w:val="24"/>
        </w:rPr>
        <w:t>.</w:t>
      </w:r>
      <w:r w:rsidR="00CA7A8C">
        <w:rPr>
          <w:rFonts w:ascii="Arial" w:hAnsi="Arial" w:cs="Arial"/>
          <w:sz w:val="24"/>
          <w:szCs w:val="24"/>
        </w:rPr>
        <w:t xml:space="preserve"> </w:t>
      </w:r>
      <w:r w:rsidRPr="00335EDF">
        <w:rPr>
          <w:rFonts w:ascii="Arial" w:hAnsi="Arial" w:cs="Arial"/>
          <w:sz w:val="24"/>
          <w:szCs w:val="24"/>
        </w:rPr>
        <w:t xml:space="preserve"> </w:t>
      </w:r>
      <w:proofErr w:type="gramEnd"/>
      <w:r w:rsidRPr="00335EDF">
        <w:rPr>
          <w:rFonts w:ascii="Arial" w:hAnsi="Arial" w:cs="Arial"/>
          <w:sz w:val="24"/>
          <w:szCs w:val="24"/>
        </w:rPr>
        <w:t>First, it provides for a simplified and more expeditious procedure in the event of an outbreak of pests or disease affecting fruit or vegetables</w:t>
      </w:r>
      <w:proofErr w:type="gramStart"/>
      <w:r w:rsidRPr="00335EDF">
        <w:rPr>
          <w:rFonts w:ascii="Arial" w:hAnsi="Arial" w:cs="Arial"/>
          <w:sz w:val="24"/>
          <w:szCs w:val="24"/>
        </w:rPr>
        <w:t xml:space="preserve">. </w:t>
      </w:r>
      <w:r w:rsidR="00CA7A8C">
        <w:rPr>
          <w:rFonts w:ascii="Arial" w:hAnsi="Arial" w:cs="Arial"/>
          <w:sz w:val="24"/>
          <w:szCs w:val="24"/>
        </w:rPr>
        <w:t xml:space="preserve"> </w:t>
      </w:r>
      <w:proofErr w:type="gramEnd"/>
      <w:r w:rsidRPr="00335EDF">
        <w:rPr>
          <w:rFonts w:ascii="Arial" w:hAnsi="Arial" w:cs="Arial"/>
          <w:sz w:val="24"/>
          <w:szCs w:val="24"/>
        </w:rPr>
        <w:t>At present when such an outbreak occurs, it is necessary for a proclamation to be made under section 7 of the Act proclaiming quarantine areas and restricting the movement of fruit and plants from those areas</w:t>
      </w:r>
      <w:proofErr w:type="gramStart"/>
      <w:r w:rsidRPr="00335EDF">
        <w:rPr>
          <w:rFonts w:ascii="Arial" w:hAnsi="Arial" w:cs="Arial"/>
          <w:sz w:val="24"/>
          <w:szCs w:val="24"/>
        </w:rPr>
        <w:t>.</w:t>
      </w:r>
      <w:r w:rsidR="00CA7A8C">
        <w:rPr>
          <w:rFonts w:ascii="Arial" w:hAnsi="Arial" w:cs="Arial"/>
          <w:sz w:val="24"/>
          <w:szCs w:val="24"/>
        </w:rPr>
        <w:t xml:space="preserve"> </w:t>
      </w:r>
      <w:r w:rsidRPr="00335EDF">
        <w:rPr>
          <w:rFonts w:ascii="Arial" w:hAnsi="Arial" w:cs="Arial"/>
          <w:sz w:val="24"/>
          <w:szCs w:val="24"/>
        </w:rPr>
        <w:t xml:space="preserve"> </w:t>
      </w:r>
      <w:proofErr w:type="gramEnd"/>
      <w:r w:rsidRPr="00335EDF">
        <w:rPr>
          <w:rFonts w:ascii="Arial" w:hAnsi="Arial" w:cs="Arial"/>
          <w:sz w:val="24"/>
          <w:szCs w:val="24"/>
        </w:rPr>
        <w:t>The administrative procedures involved in making a proclamation necessarily take several days to complete</w:t>
      </w:r>
      <w:proofErr w:type="gramStart"/>
      <w:r w:rsidRPr="00335EDF">
        <w:rPr>
          <w:rFonts w:ascii="Arial" w:hAnsi="Arial" w:cs="Arial"/>
          <w:sz w:val="24"/>
          <w:szCs w:val="24"/>
        </w:rPr>
        <w:t xml:space="preserve">. </w:t>
      </w:r>
      <w:r w:rsidR="00CA7A8C">
        <w:rPr>
          <w:rFonts w:ascii="Arial" w:hAnsi="Arial" w:cs="Arial"/>
          <w:sz w:val="24"/>
          <w:szCs w:val="24"/>
        </w:rPr>
        <w:t xml:space="preserve"> </w:t>
      </w:r>
      <w:proofErr w:type="gramEnd"/>
      <w:r w:rsidRPr="00335EDF">
        <w:rPr>
          <w:rFonts w:ascii="Arial" w:hAnsi="Arial" w:cs="Arial"/>
          <w:sz w:val="24"/>
          <w:szCs w:val="24"/>
        </w:rPr>
        <w:t>As the initiation of measures to control an outbreak of pests or disease is usually a matter of great urgency, the Government believes that it would be better if these measures could be initiated by the Minister by publishing a notice in the Gazette</w:t>
      </w:r>
      <w:proofErr w:type="gramStart"/>
      <w:r w:rsidRPr="00335EDF">
        <w:rPr>
          <w:rFonts w:ascii="Arial" w:hAnsi="Arial" w:cs="Arial"/>
          <w:sz w:val="24"/>
          <w:szCs w:val="24"/>
        </w:rPr>
        <w:t xml:space="preserve">. </w:t>
      </w:r>
      <w:r w:rsidR="00CA7A8C">
        <w:rPr>
          <w:rFonts w:ascii="Arial" w:hAnsi="Arial" w:cs="Arial"/>
          <w:sz w:val="24"/>
          <w:szCs w:val="24"/>
        </w:rPr>
        <w:t xml:space="preserve"> </w:t>
      </w:r>
      <w:proofErr w:type="gramEnd"/>
      <w:r w:rsidRPr="00335EDF">
        <w:rPr>
          <w:rFonts w:ascii="Arial" w:hAnsi="Arial" w:cs="Arial"/>
          <w:sz w:val="24"/>
          <w:szCs w:val="24"/>
        </w:rPr>
        <w:t xml:space="preserve">The Bill also amends section 9 of the principal Act in a corresponding manner. This section, in its amended form, will enable the Minister to require orchardists to take specified measures to prevent the spread of pests or disease from an affected area. </w:t>
      </w:r>
    </w:p>
    <w:p w14:paraId="774DAABD" w14:textId="77777777" w:rsidR="00944CE2" w:rsidRDefault="00944CE2" w:rsidP="00335EDF">
      <w:pPr>
        <w:spacing w:after="0"/>
        <w:rPr>
          <w:rFonts w:ascii="Arial" w:hAnsi="Arial" w:cs="Arial"/>
          <w:sz w:val="24"/>
          <w:szCs w:val="24"/>
        </w:rPr>
      </w:pPr>
    </w:p>
    <w:p w14:paraId="75070660" w14:textId="7A9A71CE" w:rsidR="00944CE2" w:rsidRDefault="00335EDF" w:rsidP="00335EDF">
      <w:pPr>
        <w:spacing w:after="0"/>
        <w:rPr>
          <w:rFonts w:ascii="Arial" w:hAnsi="Arial" w:cs="Arial"/>
          <w:sz w:val="24"/>
          <w:szCs w:val="24"/>
        </w:rPr>
      </w:pPr>
      <w:r w:rsidRPr="00335EDF">
        <w:rPr>
          <w:rFonts w:ascii="Arial" w:hAnsi="Arial" w:cs="Arial"/>
          <w:sz w:val="24"/>
          <w:szCs w:val="24"/>
        </w:rPr>
        <w:t>A further amendment proposed by the Bill enables the Governor to prescribe fees to be paid in respect of services provided under the principal Act</w:t>
      </w:r>
      <w:proofErr w:type="gramStart"/>
      <w:r w:rsidRPr="00335EDF">
        <w:rPr>
          <w:rFonts w:ascii="Arial" w:hAnsi="Arial" w:cs="Arial"/>
          <w:sz w:val="24"/>
          <w:szCs w:val="24"/>
        </w:rPr>
        <w:t xml:space="preserve">. </w:t>
      </w:r>
      <w:r w:rsidR="00CA7A8C">
        <w:rPr>
          <w:rFonts w:ascii="Arial" w:hAnsi="Arial" w:cs="Arial"/>
          <w:sz w:val="24"/>
          <w:szCs w:val="24"/>
        </w:rPr>
        <w:t xml:space="preserve"> </w:t>
      </w:r>
      <w:proofErr w:type="gramEnd"/>
      <w:r w:rsidRPr="00335EDF">
        <w:rPr>
          <w:rFonts w:ascii="Arial" w:hAnsi="Arial" w:cs="Arial"/>
          <w:sz w:val="24"/>
          <w:szCs w:val="24"/>
        </w:rPr>
        <w:t>A schedule of fees was prescribed under the Vine, Fruit and Vegetable Protection Act (the predecessor of the present Act) and, following advice from the Crown Solicitor, it is considered desirable that specific power be conferred to prescribe fees under the Fruit and Plant Protection Act</w:t>
      </w:r>
      <w:proofErr w:type="gramStart"/>
      <w:r w:rsidRPr="00335EDF">
        <w:rPr>
          <w:rFonts w:ascii="Arial" w:hAnsi="Arial" w:cs="Arial"/>
          <w:sz w:val="24"/>
          <w:szCs w:val="24"/>
        </w:rPr>
        <w:t xml:space="preserve">. </w:t>
      </w:r>
      <w:r w:rsidR="00CA7A8C">
        <w:rPr>
          <w:rFonts w:ascii="Arial" w:hAnsi="Arial" w:cs="Arial"/>
          <w:sz w:val="24"/>
          <w:szCs w:val="24"/>
        </w:rPr>
        <w:t xml:space="preserve"> </w:t>
      </w:r>
      <w:proofErr w:type="gramEnd"/>
      <w:r w:rsidRPr="00335EDF">
        <w:rPr>
          <w:rFonts w:ascii="Arial" w:hAnsi="Arial" w:cs="Arial"/>
          <w:sz w:val="24"/>
          <w:szCs w:val="24"/>
        </w:rPr>
        <w:t>The Bill accordingly provides this authority</w:t>
      </w:r>
      <w:proofErr w:type="gramStart"/>
      <w:r w:rsidRPr="00335EDF">
        <w:rPr>
          <w:rFonts w:ascii="Arial" w:hAnsi="Arial" w:cs="Arial"/>
          <w:sz w:val="24"/>
          <w:szCs w:val="24"/>
        </w:rPr>
        <w:t xml:space="preserve">. </w:t>
      </w:r>
      <w:r w:rsidR="00CA7A8C">
        <w:rPr>
          <w:rFonts w:ascii="Arial" w:hAnsi="Arial" w:cs="Arial"/>
          <w:sz w:val="24"/>
          <w:szCs w:val="24"/>
        </w:rPr>
        <w:t xml:space="preserve"> </w:t>
      </w:r>
      <w:proofErr w:type="gramEnd"/>
      <w:r w:rsidRPr="00335EDF">
        <w:rPr>
          <w:rFonts w:ascii="Arial" w:hAnsi="Arial" w:cs="Arial"/>
          <w:sz w:val="24"/>
          <w:szCs w:val="24"/>
        </w:rPr>
        <w:t>Clause 1 is formal</w:t>
      </w:r>
      <w:proofErr w:type="gramStart"/>
      <w:r w:rsidRPr="00335EDF">
        <w:rPr>
          <w:rFonts w:ascii="Arial" w:hAnsi="Arial" w:cs="Arial"/>
          <w:sz w:val="24"/>
          <w:szCs w:val="24"/>
        </w:rPr>
        <w:t xml:space="preserve">. </w:t>
      </w:r>
      <w:r w:rsidR="00CA7A8C">
        <w:rPr>
          <w:rFonts w:ascii="Arial" w:hAnsi="Arial" w:cs="Arial"/>
          <w:sz w:val="24"/>
          <w:szCs w:val="24"/>
        </w:rPr>
        <w:t xml:space="preserve"> </w:t>
      </w:r>
      <w:proofErr w:type="gramEnd"/>
      <w:r w:rsidRPr="00335EDF">
        <w:rPr>
          <w:rFonts w:ascii="Arial" w:hAnsi="Arial" w:cs="Arial"/>
          <w:sz w:val="24"/>
          <w:szCs w:val="24"/>
        </w:rPr>
        <w:t>Clauses 2 and 3 transfer to the Minister powers formerly exercisable by the Governor</w:t>
      </w:r>
      <w:proofErr w:type="gramStart"/>
      <w:r w:rsidR="00CA7A8C">
        <w:rPr>
          <w:rFonts w:ascii="Arial" w:hAnsi="Arial" w:cs="Arial"/>
          <w:sz w:val="24"/>
          <w:szCs w:val="24"/>
        </w:rPr>
        <w:t xml:space="preserve">.  </w:t>
      </w:r>
      <w:proofErr w:type="gramEnd"/>
      <w:r w:rsidRPr="00335EDF">
        <w:rPr>
          <w:rFonts w:ascii="Arial" w:hAnsi="Arial" w:cs="Arial"/>
          <w:sz w:val="24"/>
          <w:szCs w:val="24"/>
        </w:rPr>
        <w:t xml:space="preserve">Clause 4 provides that the Governor may prescribe fees for the purposes of the Act. </w:t>
      </w:r>
    </w:p>
    <w:p w14:paraId="0EFD1128" w14:textId="77777777" w:rsidR="00944CE2" w:rsidRDefault="00944CE2" w:rsidP="00335EDF">
      <w:pPr>
        <w:spacing w:after="0"/>
        <w:rPr>
          <w:rFonts w:ascii="Arial" w:hAnsi="Arial" w:cs="Arial"/>
          <w:sz w:val="24"/>
          <w:szCs w:val="24"/>
        </w:rPr>
      </w:pPr>
    </w:p>
    <w:p w14:paraId="2EE687C3" w14:textId="0EC3C7D2" w:rsidR="002413F6" w:rsidRPr="00335EDF" w:rsidRDefault="00335EDF" w:rsidP="00335EDF">
      <w:pPr>
        <w:spacing w:after="0"/>
        <w:rPr>
          <w:rFonts w:ascii="Arial" w:hAnsi="Arial" w:cs="Arial"/>
          <w:sz w:val="24"/>
          <w:szCs w:val="24"/>
        </w:rPr>
      </w:pPr>
      <w:r w:rsidRPr="00335EDF">
        <w:rPr>
          <w:rFonts w:ascii="Arial" w:hAnsi="Arial" w:cs="Arial"/>
          <w:sz w:val="24"/>
          <w:szCs w:val="24"/>
        </w:rPr>
        <w:t>The Hon. M. B. DAWKINS secured the adjournment of the debate.</w:t>
      </w:r>
      <w:r w:rsidR="00CA7A8C">
        <w:rPr>
          <w:rFonts w:ascii="Arial" w:hAnsi="Arial" w:cs="Arial"/>
          <w:sz w:val="24"/>
          <w:szCs w:val="24"/>
        </w:rPr>
        <w:t xml:space="preserve"> </w:t>
      </w:r>
    </w:p>
    <w:sectPr w:rsidR="002413F6" w:rsidRPr="00335EDF" w:rsidSect="00335EDF">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6378" w14:textId="77777777" w:rsidR="00CA7A8C" w:rsidRDefault="00CA7A8C" w:rsidP="00CA7A8C">
      <w:pPr>
        <w:spacing w:after="0" w:line="240" w:lineRule="auto"/>
      </w:pPr>
      <w:r>
        <w:separator/>
      </w:r>
    </w:p>
  </w:endnote>
  <w:endnote w:type="continuationSeparator" w:id="0">
    <w:p w14:paraId="513B02AC" w14:textId="77777777" w:rsidR="00CA7A8C" w:rsidRDefault="00CA7A8C" w:rsidP="00CA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43C" w14:textId="77777777" w:rsidR="00CA7A8C" w:rsidRPr="00CA7A8C" w:rsidRDefault="00CA7A8C" w:rsidP="00CA7A8C">
    <w:pPr>
      <w:pStyle w:val="Footer"/>
      <w:jc w:val="right"/>
      <w:rPr>
        <w:color w:val="365F91" w:themeColor="accent1" w:themeShade="BF"/>
        <w:lang w:val="en-US"/>
      </w:rPr>
    </w:pPr>
    <w:r w:rsidRPr="00CA7A8C">
      <w:rPr>
        <w:rFonts w:hint="eastAsia"/>
        <w:color w:val="365F91" w:themeColor="accent1" w:themeShade="BF"/>
        <w:lang w:val="en-US"/>
      </w:rPr>
      <w:t>History of Agriculture South Australia</w:t>
    </w:r>
  </w:p>
  <w:p w14:paraId="606C4A3A" w14:textId="77777777" w:rsidR="00CA7A8C" w:rsidRDefault="00CA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8620" w14:textId="77777777" w:rsidR="00CA7A8C" w:rsidRDefault="00CA7A8C" w:rsidP="00CA7A8C">
      <w:pPr>
        <w:spacing w:after="0" w:line="240" w:lineRule="auto"/>
      </w:pPr>
      <w:r>
        <w:separator/>
      </w:r>
    </w:p>
  </w:footnote>
  <w:footnote w:type="continuationSeparator" w:id="0">
    <w:p w14:paraId="278277AC" w14:textId="77777777" w:rsidR="00CA7A8C" w:rsidRDefault="00CA7A8C" w:rsidP="00CA7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DF"/>
    <w:rsid w:val="002413F6"/>
    <w:rsid w:val="00335EDF"/>
    <w:rsid w:val="00944CE2"/>
    <w:rsid w:val="00CA7A8C"/>
    <w:rsid w:val="00F86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730E"/>
  <w15:chartTrackingRefBased/>
  <w15:docId w15:val="{B7AFAAB1-CC96-437C-B06B-B0061B6E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944CE2"/>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CA7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8C"/>
  </w:style>
  <w:style w:type="paragraph" w:styleId="Footer">
    <w:name w:val="footer"/>
    <w:basedOn w:val="Normal"/>
    <w:link w:val="FooterChar"/>
    <w:uiPriority w:val="99"/>
    <w:unhideWhenUsed/>
    <w:rsid w:val="00CA7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2021-10-19T09:49:00Z</dcterms:created>
  <dcterms:modified xsi:type="dcterms:W3CDTF">2021-10-25T06:11:00Z</dcterms:modified>
</cp:coreProperties>
</file>