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8B" w:rsidRPr="002A3944" w:rsidRDefault="00B944C9">
      <w:pPr>
        <w:pStyle w:val="normal0"/>
        <w:keepNext/>
        <w:keepLines/>
        <w:spacing w:after="120"/>
        <w:ind w:right="40"/>
        <w:rPr>
          <w:rFonts w:ascii="Arial" w:eastAsia="Arial" w:hAnsi="Arial" w:cs="Arial"/>
          <w:b/>
          <w:color w:val="1C4587"/>
          <w:sz w:val="32"/>
          <w:szCs w:val="32"/>
        </w:rPr>
      </w:pPr>
      <w:r w:rsidRPr="002A3944">
        <w:rPr>
          <w:rFonts w:ascii="Arial" w:eastAsia="Arial" w:hAnsi="Arial" w:cs="Arial"/>
          <w:b/>
          <w:color w:val="1C4587"/>
          <w:sz w:val="32"/>
          <w:szCs w:val="32"/>
        </w:rPr>
        <w:t>BARLEY MARKETING (MI</w:t>
      </w:r>
      <w:r w:rsidR="002A3944" w:rsidRPr="002A3944">
        <w:rPr>
          <w:rFonts w:ascii="Arial" w:eastAsia="Arial" w:hAnsi="Arial" w:cs="Arial"/>
          <w:b/>
          <w:color w:val="1C4587"/>
          <w:sz w:val="32"/>
          <w:szCs w:val="32"/>
        </w:rPr>
        <w:t>SCELLANEOUS NO. 2) AMENDMENT  BILL</w:t>
      </w:r>
      <w:r w:rsidRPr="002A3944">
        <w:rPr>
          <w:rFonts w:ascii="Arial" w:eastAsia="Arial" w:hAnsi="Arial" w:cs="Arial"/>
          <w:b/>
          <w:color w:val="1C4587"/>
          <w:sz w:val="32"/>
          <w:szCs w:val="32"/>
        </w:rPr>
        <w:t xml:space="preserve"> 1999</w:t>
      </w:r>
    </w:p>
    <w:p w:rsidR="0006338B" w:rsidRDefault="0006338B">
      <w:pPr>
        <w:pStyle w:val="normal0"/>
        <w:pBdr>
          <w:top w:val="nil"/>
          <w:left w:val="nil"/>
          <w:bottom w:val="nil"/>
          <w:right w:val="nil"/>
          <w:between w:val="nil"/>
        </w:pBdr>
        <w:rPr>
          <w:rFonts w:ascii="Times New Roman" w:eastAsia="Times New Roman" w:hAnsi="Times New Roman" w:cs="Times New Roman"/>
          <w:b/>
          <w:color w:val="1C4587"/>
          <w:sz w:val="17"/>
          <w:szCs w:val="17"/>
        </w:rPr>
      </w:pPr>
    </w:p>
    <w:p w:rsidR="0006338B" w:rsidRDefault="002A3944">
      <w:pPr>
        <w:pStyle w:val="normal0"/>
        <w:pBdr>
          <w:top w:val="nil"/>
          <w:left w:val="nil"/>
          <w:bottom w:val="nil"/>
          <w:right w:val="nil"/>
          <w:between w:val="nil"/>
        </w:pBdr>
        <w:rPr>
          <w:rFonts w:ascii="Arial" w:eastAsia="Arial" w:hAnsi="Arial" w:cs="Arial"/>
          <w:b/>
          <w:color w:val="1C4587"/>
          <w:sz w:val="28"/>
          <w:szCs w:val="28"/>
        </w:rPr>
        <w:sectPr w:rsidR="0006338B">
          <w:footerReference w:type="default" r:id="rId7"/>
          <w:pgSz w:w="11906" w:h="16838"/>
          <w:pgMar w:top="1281" w:right="1411" w:bottom="2131" w:left="1137" w:header="0" w:footer="3" w:gutter="0"/>
          <w:pgNumType w:start="1"/>
          <w:cols w:space="720" w:equalWidth="0">
            <w:col w:w="9356" w:space="0"/>
          </w:cols>
        </w:sectPr>
      </w:pPr>
      <w:r>
        <w:rPr>
          <w:rFonts w:ascii="Arial" w:eastAsia="Arial" w:hAnsi="Arial" w:cs="Arial"/>
          <w:b/>
          <w:color w:val="1C4587"/>
          <w:sz w:val="28"/>
          <w:szCs w:val="28"/>
        </w:rPr>
        <w:t>LEGISLATIVE</w:t>
      </w:r>
      <w:r w:rsidR="00B944C9">
        <w:rPr>
          <w:rFonts w:ascii="Arial" w:eastAsia="Arial" w:hAnsi="Arial" w:cs="Arial"/>
          <w:b/>
          <w:color w:val="1C4587"/>
          <w:sz w:val="28"/>
          <w:szCs w:val="28"/>
        </w:rPr>
        <w:t xml:space="preserve"> C</w:t>
      </w:r>
      <w:r>
        <w:rPr>
          <w:rFonts w:ascii="Arial" w:eastAsia="Arial" w:hAnsi="Arial" w:cs="Arial"/>
          <w:b/>
          <w:color w:val="1C4587"/>
          <w:sz w:val="28"/>
          <w:szCs w:val="28"/>
        </w:rPr>
        <w:t>OUNCIL</w:t>
      </w:r>
      <w:r w:rsidR="00B944C9">
        <w:rPr>
          <w:rFonts w:ascii="Arial" w:eastAsia="Arial" w:hAnsi="Arial" w:cs="Arial"/>
          <w:b/>
          <w:color w:val="1C4587"/>
          <w:sz w:val="28"/>
          <w:szCs w:val="28"/>
        </w:rPr>
        <w:t>,</w:t>
      </w:r>
      <w:r w:rsidR="00B944C9">
        <w:rPr>
          <w:rFonts w:ascii="Arial" w:eastAsia="Arial" w:hAnsi="Arial" w:cs="Arial"/>
          <w:color w:val="1C4587"/>
          <w:sz w:val="28"/>
          <w:szCs w:val="28"/>
        </w:rPr>
        <w:t xml:space="preserve"> </w:t>
      </w:r>
      <w:r w:rsidR="00B944C9">
        <w:rPr>
          <w:rFonts w:ascii="Arial" w:eastAsia="Arial" w:hAnsi="Arial" w:cs="Arial"/>
          <w:b/>
          <w:color w:val="1C4587"/>
          <w:sz w:val="28"/>
          <w:szCs w:val="28"/>
        </w:rPr>
        <w:t>Thursday 18 Nove</w:t>
      </w:r>
      <w:r w:rsidR="00B944C9">
        <w:rPr>
          <w:rFonts w:ascii="Arial" w:eastAsia="Arial" w:hAnsi="Arial" w:cs="Arial"/>
          <w:b/>
          <w:color w:val="1C4587"/>
          <w:sz w:val="28"/>
          <w:szCs w:val="28"/>
        </w:rPr>
        <w:t xml:space="preserve">mber 1999, </w:t>
      </w:r>
      <w:r w:rsidR="00B944C9">
        <w:rPr>
          <w:rFonts w:ascii="Arial" w:eastAsia="Arial" w:hAnsi="Arial" w:cs="Arial"/>
          <w:b/>
          <w:color w:val="1C4587"/>
          <w:sz w:val="28"/>
          <w:szCs w:val="28"/>
        </w:rPr>
        <w:t>562</w:t>
      </w:r>
    </w:p>
    <w:p w:rsidR="0006338B" w:rsidRDefault="0006338B">
      <w:pPr>
        <w:pStyle w:val="normal0"/>
        <w:jc w:val="center"/>
        <w:rPr>
          <w:rFonts w:ascii="Arial" w:eastAsia="Arial" w:hAnsi="Arial" w:cs="Arial"/>
          <w:color w:val="1C4587"/>
          <w:sz w:val="28"/>
          <w:szCs w:val="28"/>
        </w:rPr>
      </w:pPr>
    </w:p>
    <w:p w:rsidR="0006338B" w:rsidRDefault="00B944C9">
      <w:pPr>
        <w:pStyle w:val="normal0"/>
        <w:rPr>
          <w:rFonts w:ascii="Arial" w:eastAsia="Arial" w:hAnsi="Arial" w:cs="Arial"/>
          <w:color w:val="1C4587"/>
          <w:sz w:val="28"/>
          <w:szCs w:val="28"/>
        </w:rPr>
        <w:sectPr w:rsidR="0006338B">
          <w:type w:val="continuous"/>
          <w:pgSz w:w="11906" w:h="16838"/>
          <w:pgMar w:top="1281" w:right="1411" w:bottom="2131" w:left="1137" w:header="0" w:footer="3" w:gutter="0"/>
          <w:cols w:space="720" w:equalWidth="0">
            <w:col w:w="9356" w:space="0"/>
          </w:cols>
        </w:sectPr>
      </w:pPr>
      <w:r>
        <w:rPr>
          <w:rFonts w:ascii="Arial" w:eastAsia="Arial" w:hAnsi="Arial" w:cs="Arial"/>
          <w:color w:val="1C4587"/>
          <w:sz w:val="28"/>
          <w:szCs w:val="28"/>
        </w:rPr>
        <w:t xml:space="preserve"> Second reading</w:t>
      </w:r>
    </w:p>
    <w:p w:rsidR="0006338B" w:rsidRDefault="0006338B" w:rsidP="002A3944">
      <w:pPr>
        <w:pStyle w:val="normal0"/>
        <w:keepNext/>
        <w:keepLines/>
        <w:pBdr>
          <w:top w:val="nil"/>
          <w:left w:val="nil"/>
          <w:bottom w:val="nil"/>
          <w:right w:val="nil"/>
          <w:between w:val="nil"/>
        </w:pBdr>
        <w:spacing w:after="120"/>
        <w:ind w:right="40"/>
        <w:rPr>
          <w:rFonts w:ascii="Arial" w:eastAsia="Arial" w:hAnsi="Arial" w:cs="Arial"/>
          <w:b/>
          <w:color w:val="000000"/>
        </w:rPr>
      </w:pPr>
    </w:p>
    <w:p w:rsidR="0006338B" w:rsidRDefault="00B944C9">
      <w:pPr>
        <w:pStyle w:val="normal0"/>
        <w:keepNext/>
        <w:keepLines/>
        <w:pBdr>
          <w:top w:val="nil"/>
          <w:left w:val="nil"/>
          <w:bottom w:val="nil"/>
          <w:right w:val="nil"/>
          <w:between w:val="nil"/>
        </w:pBdr>
        <w:ind w:right="40"/>
        <w:rPr>
          <w:rFonts w:ascii="Arial" w:eastAsia="Arial" w:hAnsi="Arial" w:cs="Arial"/>
          <w:color w:val="000000"/>
        </w:rPr>
      </w:pPr>
      <w:r>
        <w:rPr>
          <w:rFonts w:ascii="Arial" w:eastAsia="Arial" w:hAnsi="Arial" w:cs="Arial"/>
          <w:color w:val="000000"/>
        </w:rPr>
        <w:t>Received from the House of Assembly and read a first time.</w:t>
      </w:r>
    </w:p>
    <w:p w:rsidR="0006338B" w:rsidRDefault="0006338B">
      <w:pPr>
        <w:pStyle w:val="normal0"/>
        <w:keepNext/>
        <w:keepLines/>
        <w:pBdr>
          <w:top w:val="nil"/>
          <w:left w:val="nil"/>
          <w:bottom w:val="nil"/>
          <w:right w:val="nil"/>
          <w:between w:val="nil"/>
        </w:pBdr>
        <w:ind w:right="40"/>
        <w:rPr>
          <w:rFonts w:ascii="Arial" w:eastAsia="Arial" w:hAnsi="Arial" w:cs="Arial"/>
        </w:rPr>
      </w:pPr>
    </w:p>
    <w:p w:rsidR="0006338B" w:rsidRDefault="00B944C9">
      <w:pPr>
        <w:pStyle w:val="normal0"/>
        <w:keepNext/>
        <w:keepLines/>
        <w:pBdr>
          <w:top w:val="nil"/>
          <w:left w:val="nil"/>
          <w:bottom w:val="nil"/>
          <w:right w:val="nil"/>
          <w:between w:val="nil"/>
        </w:pBdr>
        <w:rPr>
          <w:rFonts w:ascii="Arial" w:eastAsia="Arial" w:hAnsi="Arial" w:cs="Arial"/>
          <w:b/>
          <w:color w:val="000000"/>
        </w:rPr>
      </w:pPr>
      <w:r>
        <w:rPr>
          <w:rFonts w:ascii="Arial" w:eastAsia="Arial" w:hAnsi="Arial" w:cs="Arial"/>
          <w:b/>
          <w:color w:val="000000"/>
        </w:rPr>
        <w:t>The Hon. K</w:t>
      </w:r>
      <w:r w:rsidR="002A3944">
        <w:rPr>
          <w:rFonts w:ascii="Arial" w:eastAsia="Arial" w:hAnsi="Arial" w:cs="Arial"/>
          <w:b/>
          <w:color w:val="000000"/>
        </w:rPr>
        <w:t>.T. GRIFFIN (Attorney-General):</w:t>
      </w:r>
      <w:r w:rsidRPr="002A3944">
        <w:rPr>
          <w:rFonts w:ascii="Arial" w:eastAsia="Arial" w:hAnsi="Arial" w:cs="Arial"/>
          <w:color w:val="000000"/>
        </w:rPr>
        <w:t xml:space="preserve"> </w:t>
      </w:r>
      <w:r w:rsidR="002A3944">
        <w:rPr>
          <w:rFonts w:ascii="Arial" w:eastAsia="Arial" w:hAnsi="Arial" w:cs="Arial"/>
          <w:color w:val="000000"/>
        </w:rPr>
        <w:t xml:space="preserve">I </w:t>
      </w:r>
      <w:r w:rsidRPr="002A3944">
        <w:rPr>
          <w:rFonts w:ascii="Arial" w:eastAsia="Arial" w:hAnsi="Arial" w:cs="Arial"/>
          <w:color w:val="000000"/>
        </w:rPr>
        <w:t>move</w:t>
      </w:r>
      <w:r>
        <w:rPr>
          <w:rFonts w:ascii="Arial" w:eastAsia="Arial" w:hAnsi="Arial" w:cs="Arial"/>
          <w:b/>
          <w:color w:val="000000"/>
        </w:rPr>
        <w:t>:</w:t>
      </w:r>
    </w:p>
    <w:p w:rsidR="0006338B" w:rsidRDefault="00B944C9">
      <w:pPr>
        <w:pStyle w:val="normal0"/>
        <w:keepNext/>
        <w:keepLines/>
        <w:pBdr>
          <w:top w:val="nil"/>
          <w:left w:val="nil"/>
          <w:bottom w:val="nil"/>
          <w:right w:val="nil"/>
          <w:between w:val="nil"/>
        </w:pBdr>
        <w:ind w:right="40"/>
        <w:rPr>
          <w:rFonts w:ascii="Arial" w:eastAsia="Arial" w:hAnsi="Arial" w:cs="Arial"/>
          <w:i/>
          <w:color w:val="000000"/>
        </w:rPr>
      </w:pPr>
      <w:r>
        <w:rPr>
          <w:rFonts w:ascii="Arial" w:eastAsia="Arial" w:hAnsi="Arial" w:cs="Arial"/>
          <w:i/>
          <w:color w:val="000000"/>
        </w:rPr>
        <w:t xml:space="preserve">That this bill be now read a second time. </w:t>
      </w:r>
    </w:p>
    <w:p w:rsidR="0006338B" w:rsidRDefault="0006338B">
      <w:pPr>
        <w:pStyle w:val="normal0"/>
        <w:keepNext/>
        <w:keepLines/>
        <w:pBdr>
          <w:top w:val="nil"/>
          <w:left w:val="nil"/>
          <w:bottom w:val="nil"/>
          <w:right w:val="nil"/>
          <w:between w:val="nil"/>
        </w:pBdr>
        <w:ind w:right="40"/>
        <w:rPr>
          <w:rFonts w:ascii="Arial" w:eastAsia="Arial" w:hAnsi="Arial" w:cs="Arial"/>
          <w:i/>
        </w:rPr>
      </w:pPr>
    </w:p>
    <w:p w:rsidR="0006338B" w:rsidRDefault="00B944C9">
      <w:pPr>
        <w:pStyle w:val="normal0"/>
        <w:keepNext/>
        <w:keepLines/>
        <w:pBdr>
          <w:top w:val="nil"/>
          <w:left w:val="nil"/>
          <w:bottom w:val="nil"/>
          <w:right w:val="nil"/>
          <w:between w:val="nil"/>
        </w:pBdr>
        <w:ind w:right="40"/>
        <w:rPr>
          <w:rFonts w:ascii="Arial" w:eastAsia="Arial" w:hAnsi="Arial" w:cs="Arial"/>
          <w:color w:val="000000"/>
        </w:rPr>
      </w:pPr>
      <w:r>
        <w:rPr>
          <w:rFonts w:ascii="Arial" w:eastAsia="Arial" w:hAnsi="Arial" w:cs="Arial"/>
          <w:color w:val="000000"/>
        </w:rPr>
        <w:t>I seek leave to have the second reading explanation inserted in</w:t>
      </w:r>
      <w:r>
        <w:rPr>
          <w:rFonts w:ascii="Arial" w:eastAsia="Arial" w:hAnsi="Arial" w:cs="Arial"/>
          <w:i/>
          <w:color w:val="000000"/>
        </w:rPr>
        <w:t xml:space="preserve"> Hansard</w:t>
      </w:r>
      <w:r>
        <w:rPr>
          <w:rFonts w:ascii="Arial" w:eastAsia="Arial" w:hAnsi="Arial" w:cs="Arial"/>
          <w:color w:val="000000"/>
        </w:rPr>
        <w:t xml:space="preserve"> without my reading it.</w:t>
      </w:r>
    </w:p>
    <w:p w:rsidR="002A3944" w:rsidRDefault="002A3944">
      <w:pPr>
        <w:pStyle w:val="normal0"/>
        <w:keepNext/>
        <w:keepLines/>
        <w:pBdr>
          <w:top w:val="nil"/>
          <w:left w:val="nil"/>
          <w:bottom w:val="nil"/>
          <w:right w:val="nil"/>
          <w:between w:val="nil"/>
        </w:pBdr>
        <w:ind w:right="40"/>
        <w:rPr>
          <w:rFonts w:ascii="Arial" w:eastAsia="Arial" w:hAnsi="Arial" w:cs="Arial"/>
          <w:color w:val="000000"/>
        </w:rPr>
      </w:pPr>
    </w:p>
    <w:p w:rsidR="0006338B" w:rsidRDefault="00B944C9">
      <w:pPr>
        <w:pStyle w:val="normal0"/>
        <w:keepNext/>
        <w:keepLines/>
        <w:pBdr>
          <w:top w:val="nil"/>
          <w:left w:val="nil"/>
          <w:bottom w:val="nil"/>
          <w:right w:val="nil"/>
          <w:between w:val="nil"/>
        </w:pBdr>
        <w:rPr>
          <w:rFonts w:ascii="Arial" w:eastAsia="Arial" w:hAnsi="Arial" w:cs="Arial"/>
          <w:color w:val="000000"/>
        </w:rPr>
      </w:pPr>
      <w:r>
        <w:rPr>
          <w:rFonts w:ascii="Arial" w:eastAsia="Arial" w:hAnsi="Arial" w:cs="Arial"/>
          <w:color w:val="000000"/>
        </w:rPr>
        <w:t>Leave granted.</w:t>
      </w:r>
    </w:p>
    <w:p w:rsidR="0006338B" w:rsidRDefault="0006338B">
      <w:pPr>
        <w:pStyle w:val="normal0"/>
        <w:keepNext/>
        <w:keepLines/>
        <w:pBdr>
          <w:top w:val="nil"/>
          <w:left w:val="nil"/>
          <w:bottom w:val="nil"/>
          <w:right w:val="nil"/>
          <w:between w:val="nil"/>
        </w:pBdr>
        <w:rPr>
          <w:rFonts w:ascii="Arial" w:eastAsia="Arial" w:hAnsi="Arial" w:cs="Arial"/>
        </w:rPr>
      </w:pPr>
    </w:p>
    <w:p w:rsidR="0006338B" w:rsidRDefault="00B944C9">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This Amendment Bill has two purposes:</w:t>
      </w:r>
    </w:p>
    <w:p w:rsidR="0006338B" w:rsidRDefault="00B944C9">
      <w:pPr>
        <w:pStyle w:val="normal0"/>
        <w:numPr>
          <w:ilvl w:val="0"/>
          <w:numId w:val="1"/>
        </w:numPr>
        <w:pBdr>
          <w:top w:val="nil"/>
          <w:left w:val="nil"/>
          <w:bottom w:val="nil"/>
          <w:right w:val="nil"/>
          <w:between w:val="nil"/>
        </w:pBdr>
        <w:tabs>
          <w:tab w:val="left" w:pos="260"/>
        </w:tabs>
        <w:rPr>
          <w:rFonts w:ascii="Arial" w:eastAsia="Arial" w:hAnsi="Arial" w:cs="Arial"/>
        </w:rPr>
      </w:pPr>
      <w:r>
        <w:rPr>
          <w:rFonts w:ascii="Arial" w:eastAsia="Arial" w:hAnsi="Arial" w:cs="Arial"/>
          <w:color w:val="000000"/>
        </w:rPr>
        <w:t>To permit authorised receivers to be able to buy or sell barley,</w:t>
      </w:r>
    </w:p>
    <w:p w:rsidR="0006338B" w:rsidRDefault="00B944C9">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effective in the 1999 harvest; and</w:t>
      </w:r>
    </w:p>
    <w:p w:rsidR="0006338B" w:rsidRDefault="00B944C9">
      <w:pPr>
        <w:pStyle w:val="normal0"/>
        <w:numPr>
          <w:ilvl w:val="0"/>
          <w:numId w:val="1"/>
        </w:numPr>
        <w:pBdr>
          <w:top w:val="nil"/>
          <w:left w:val="nil"/>
          <w:bottom w:val="nil"/>
          <w:right w:val="nil"/>
          <w:between w:val="nil"/>
        </w:pBdr>
        <w:tabs>
          <w:tab w:val="left" w:pos="255"/>
        </w:tabs>
        <w:rPr>
          <w:rFonts w:ascii="Arial" w:eastAsia="Arial" w:hAnsi="Arial" w:cs="Arial"/>
        </w:rPr>
      </w:pPr>
      <w:r>
        <w:rPr>
          <w:rFonts w:ascii="Arial" w:eastAsia="Arial" w:hAnsi="Arial" w:cs="Arial"/>
          <w:color w:val="000000"/>
        </w:rPr>
        <w:t>To explicitly exclude seed from the marketing authority provided</w:t>
      </w:r>
    </w:p>
    <w:p w:rsidR="0006338B" w:rsidRDefault="00B944C9">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by the Barley Marketing Act.</w:t>
      </w:r>
    </w:p>
    <w:p w:rsidR="0006338B" w:rsidRDefault="0006338B">
      <w:pPr>
        <w:pStyle w:val="normal0"/>
        <w:pBdr>
          <w:top w:val="nil"/>
          <w:left w:val="nil"/>
          <w:bottom w:val="nil"/>
          <w:right w:val="nil"/>
          <w:between w:val="nil"/>
        </w:pBdr>
        <w:rPr>
          <w:rFonts w:ascii="Arial" w:eastAsia="Arial" w:hAnsi="Arial" w:cs="Arial"/>
        </w:rPr>
      </w:pP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The</w:t>
      </w:r>
      <w:r>
        <w:rPr>
          <w:rFonts w:ascii="Arial" w:eastAsia="Arial" w:hAnsi="Arial" w:cs="Arial"/>
          <w:i/>
          <w:color w:val="000000"/>
        </w:rPr>
        <w:t xml:space="preserve"> Barley Marketing Act 1993</w:t>
      </w:r>
      <w:r>
        <w:rPr>
          <w:rFonts w:ascii="Arial" w:eastAsia="Arial" w:hAnsi="Arial" w:cs="Arial"/>
          <w:color w:val="000000"/>
        </w:rPr>
        <w:t xml:space="preserve"> was substantially amended, in e</w:t>
      </w:r>
      <w:r>
        <w:rPr>
          <w:rFonts w:ascii="Arial" w:eastAsia="Arial" w:hAnsi="Arial" w:cs="Arial"/>
          <w:color w:val="000000"/>
        </w:rPr>
        <w:t>arly 1999, to finalise deregulation of domestic barley markets and to restructure the Australian Barley Board into grower owned companies ABB Grain Limited and ABB Grain Export Limited.</w:t>
      </w:r>
    </w:p>
    <w:p w:rsidR="0006338B" w:rsidRDefault="0006338B">
      <w:pPr>
        <w:pStyle w:val="normal0"/>
        <w:pBdr>
          <w:top w:val="nil"/>
          <w:left w:val="nil"/>
          <w:bottom w:val="nil"/>
          <w:right w:val="nil"/>
          <w:between w:val="nil"/>
        </w:pBdr>
        <w:ind w:right="40"/>
        <w:jc w:val="both"/>
        <w:rPr>
          <w:rFonts w:ascii="Arial" w:eastAsia="Arial" w:hAnsi="Arial" w:cs="Arial"/>
        </w:rPr>
      </w:pP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The amended Act provides that ABB Grain Export Limited may appoint authorised receivers that may receive and hold barley, and that delivery of barley to an authorised receiver is, for the purposes of the Act, delivery to the ABB.</w:t>
      </w:r>
    </w:p>
    <w:p w:rsidR="0006338B" w:rsidRDefault="0006338B">
      <w:pPr>
        <w:pStyle w:val="normal0"/>
        <w:pBdr>
          <w:top w:val="nil"/>
          <w:left w:val="nil"/>
          <w:bottom w:val="nil"/>
          <w:right w:val="nil"/>
          <w:between w:val="nil"/>
        </w:pBdr>
        <w:ind w:right="40"/>
        <w:jc w:val="both"/>
        <w:rPr>
          <w:rFonts w:ascii="Arial" w:eastAsia="Arial" w:hAnsi="Arial" w:cs="Arial"/>
        </w:rPr>
      </w:pP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 xml:space="preserve">Since the Act achieves a </w:t>
      </w:r>
      <w:r>
        <w:rPr>
          <w:rFonts w:ascii="Arial" w:eastAsia="Arial" w:hAnsi="Arial" w:cs="Arial"/>
          <w:color w:val="000000"/>
        </w:rPr>
        <w:t>single desk export mechanism by restricting delivery of barley to the ABB, the appointment of authorised receivers is necessary.</w:t>
      </w:r>
    </w:p>
    <w:p w:rsidR="0006338B" w:rsidRDefault="0006338B">
      <w:pPr>
        <w:pStyle w:val="normal0"/>
        <w:pBdr>
          <w:top w:val="nil"/>
          <w:left w:val="nil"/>
          <w:bottom w:val="nil"/>
          <w:right w:val="nil"/>
          <w:between w:val="nil"/>
        </w:pBdr>
        <w:ind w:right="40"/>
        <w:jc w:val="both"/>
        <w:rPr>
          <w:rFonts w:ascii="Arial" w:eastAsia="Arial" w:hAnsi="Arial" w:cs="Arial"/>
        </w:rPr>
      </w:pP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However, the Act also prohibits an authorised receiver without, the written approval of ABB Grain Export Ltd, from having a direct or indirect interest in a business involving the buying or selling of barley or in a body corporate carrying on such a busine</w:t>
      </w:r>
      <w:r>
        <w:rPr>
          <w:rFonts w:ascii="Arial" w:eastAsia="Arial" w:hAnsi="Arial" w:cs="Arial"/>
          <w:color w:val="000000"/>
        </w:rPr>
        <w:t>ss.</w:t>
      </w:r>
    </w:p>
    <w:p w:rsidR="0006338B" w:rsidRDefault="0006338B">
      <w:pPr>
        <w:pStyle w:val="normal0"/>
        <w:pBdr>
          <w:top w:val="nil"/>
          <w:left w:val="nil"/>
          <w:bottom w:val="nil"/>
          <w:right w:val="nil"/>
          <w:between w:val="nil"/>
        </w:pBdr>
        <w:ind w:right="40"/>
        <w:jc w:val="both"/>
        <w:rPr>
          <w:rFonts w:ascii="Arial" w:eastAsia="Arial" w:hAnsi="Arial" w:cs="Arial"/>
        </w:rPr>
      </w:pP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This provision that prohibits authorised receivers from engaging in buying or selling barley has been in the Act for several years and originated in relation to separate legislation (the Bulk Handling of Grain Act) that provided for the South Australi</w:t>
      </w:r>
      <w:r>
        <w:rPr>
          <w:rFonts w:ascii="Arial" w:eastAsia="Arial" w:hAnsi="Arial" w:cs="Arial"/>
          <w:color w:val="000000"/>
        </w:rPr>
        <w:t>an Cooperative Bulk Handling (SACBH) to be the only entity that could receive and store grain.</w:t>
      </w:r>
    </w:p>
    <w:p w:rsidR="0006338B" w:rsidRDefault="0006338B">
      <w:pPr>
        <w:pStyle w:val="normal0"/>
        <w:pBdr>
          <w:top w:val="nil"/>
          <w:left w:val="nil"/>
          <w:bottom w:val="nil"/>
          <w:right w:val="nil"/>
          <w:between w:val="nil"/>
        </w:pBdr>
        <w:ind w:right="40"/>
        <w:jc w:val="both"/>
        <w:rPr>
          <w:rFonts w:ascii="Arial" w:eastAsia="Arial" w:hAnsi="Arial" w:cs="Arial"/>
        </w:rPr>
      </w:pPr>
    </w:p>
    <w:p w:rsidR="0006338B" w:rsidRDefault="00B944C9">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The Bulk Handling of Grain Act was repealed in 1998.</w:t>
      </w: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lastRenderedPageBreak/>
        <w:t>During the review of the Barley Marketing Act in 1997 and 1998 there was an extended period for public comm</w:t>
      </w:r>
      <w:r>
        <w:rPr>
          <w:rFonts w:ascii="Arial" w:eastAsia="Arial" w:hAnsi="Arial" w:cs="Arial"/>
          <w:color w:val="000000"/>
        </w:rPr>
        <w:t>ent, during which there were no concerns raised over the issue of this prohibition of authorised receivers buying or selling barley.</w:t>
      </w:r>
    </w:p>
    <w:p w:rsidR="0006338B" w:rsidRDefault="0006338B">
      <w:pPr>
        <w:pStyle w:val="normal0"/>
        <w:pBdr>
          <w:top w:val="nil"/>
          <w:left w:val="nil"/>
          <w:bottom w:val="nil"/>
          <w:right w:val="nil"/>
          <w:between w:val="nil"/>
        </w:pBdr>
        <w:ind w:right="40"/>
        <w:jc w:val="both"/>
        <w:rPr>
          <w:rFonts w:ascii="Arial" w:eastAsia="Arial" w:hAnsi="Arial" w:cs="Arial"/>
        </w:rPr>
      </w:pP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After the amended legislation had passed the House of Assembly in March 1999 and just before it was introduced into the Le</w:t>
      </w:r>
      <w:r>
        <w:rPr>
          <w:rFonts w:ascii="Arial" w:eastAsia="Arial" w:hAnsi="Arial" w:cs="Arial"/>
          <w:color w:val="000000"/>
        </w:rPr>
        <w:t>gislative Council in May 1999, SACBH requested removal of the provision of the Act that prohibited authorised receivers from trading in barley.</w:t>
      </w:r>
    </w:p>
    <w:p w:rsidR="0006338B" w:rsidRDefault="0006338B">
      <w:pPr>
        <w:pStyle w:val="normal0"/>
        <w:pBdr>
          <w:top w:val="nil"/>
          <w:left w:val="nil"/>
          <w:bottom w:val="nil"/>
          <w:right w:val="nil"/>
          <w:between w:val="nil"/>
        </w:pBdr>
        <w:ind w:right="40"/>
        <w:jc w:val="both"/>
        <w:rPr>
          <w:rFonts w:ascii="Arial" w:eastAsia="Arial" w:hAnsi="Arial" w:cs="Arial"/>
        </w:rPr>
      </w:pP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The Government consulted with SACBH, the South Australian Farmers Federation Grains Council and the then Austra</w:t>
      </w:r>
      <w:r>
        <w:rPr>
          <w:rFonts w:ascii="Arial" w:eastAsia="Arial" w:hAnsi="Arial" w:cs="Arial"/>
          <w:color w:val="000000"/>
        </w:rPr>
        <w:t>lian Barley Board in May 1999, and proposed to amend the Barley Marketing Act after the Board had been restructured into grower-owned companies on 1 July 1999 and the resulting equity had been distributed to growers, and before the beginning harvest of the</w:t>
      </w:r>
      <w:r>
        <w:rPr>
          <w:rFonts w:ascii="Arial" w:eastAsia="Arial" w:hAnsi="Arial" w:cs="Arial"/>
          <w:color w:val="000000"/>
        </w:rPr>
        <w:t xml:space="preserve"> 1999/2000 crop in October 1999.</w:t>
      </w:r>
    </w:p>
    <w:p w:rsidR="0006338B" w:rsidRDefault="0006338B">
      <w:pPr>
        <w:pStyle w:val="normal0"/>
        <w:pBdr>
          <w:top w:val="nil"/>
          <w:left w:val="nil"/>
          <w:bottom w:val="nil"/>
          <w:right w:val="nil"/>
          <w:between w:val="nil"/>
        </w:pBdr>
        <w:ind w:right="40"/>
        <w:jc w:val="both"/>
        <w:rPr>
          <w:rFonts w:ascii="Arial" w:eastAsia="Arial" w:hAnsi="Arial" w:cs="Arial"/>
        </w:rPr>
      </w:pP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The changes proposed in this Amendment Bill will permit SACBH, or any other authorised handler, to be able to trade barley on the domestic market and for certain niche export markets beginning in the 1999-2000 crop season.</w:t>
      </w:r>
    </w:p>
    <w:p w:rsidR="0006338B" w:rsidRDefault="0006338B">
      <w:pPr>
        <w:pStyle w:val="normal0"/>
        <w:pBdr>
          <w:top w:val="nil"/>
          <w:left w:val="nil"/>
          <w:bottom w:val="nil"/>
          <w:right w:val="nil"/>
          <w:between w:val="nil"/>
        </w:pBdr>
        <w:ind w:right="40"/>
        <w:jc w:val="both"/>
        <w:rPr>
          <w:rFonts w:ascii="Arial" w:eastAsia="Arial" w:hAnsi="Arial" w:cs="Arial"/>
        </w:rPr>
      </w:pP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 xml:space="preserve">Due to potential conflicts between the Act and the Commonwealth Plant Breeders Rights Act 1994, as raised in court cases originating in Western Australia, the Crown Solicitor has advised that, at the first convenient opportunity, seed should be explicitly </w:t>
      </w:r>
      <w:r>
        <w:rPr>
          <w:rFonts w:ascii="Arial" w:eastAsia="Arial" w:hAnsi="Arial" w:cs="Arial"/>
          <w:color w:val="000000"/>
        </w:rPr>
        <w:t>excluded from marketing authority provided by the Act.</w:t>
      </w:r>
    </w:p>
    <w:p w:rsidR="0006338B" w:rsidRDefault="0006338B">
      <w:pPr>
        <w:pStyle w:val="normal0"/>
        <w:pBdr>
          <w:top w:val="nil"/>
          <w:left w:val="nil"/>
          <w:bottom w:val="nil"/>
          <w:right w:val="nil"/>
          <w:between w:val="nil"/>
        </w:pBdr>
        <w:ind w:right="40"/>
        <w:jc w:val="both"/>
        <w:rPr>
          <w:rFonts w:ascii="Arial" w:eastAsia="Arial" w:hAnsi="Arial" w:cs="Arial"/>
        </w:rPr>
      </w:pP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Excluding seed from the marketing authority provided by the Act is intended to ensure that ABB Grain Export Ltd (successor to the Australian Barley Board and sole export authority under the Act) can e</w:t>
      </w:r>
      <w:r>
        <w:rPr>
          <w:rFonts w:ascii="Arial" w:eastAsia="Arial" w:hAnsi="Arial" w:cs="Arial"/>
          <w:color w:val="000000"/>
        </w:rPr>
        <w:t>xport barley without violating the rights of owners</w:t>
      </w:r>
      <w:r>
        <w:rPr>
          <w:rFonts w:ascii="Arial" w:eastAsia="Arial" w:hAnsi="Arial" w:cs="Arial"/>
          <w:b/>
          <w:color w:val="000000"/>
        </w:rPr>
        <w:t xml:space="preserve"> of owners of barley </w:t>
      </w:r>
      <w:r>
        <w:rPr>
          <w:rFonts w:ascii="Arial" w:eastAsia="Arial" w:hAnsi="Arial" w:cs="Arial"/>
          <w:color w:val="000000"/>
        </w:rPr>
        <w:t>varieties under the Commonwealth PBR Act.</w:t>
      </w:r>
    </w:p>
    <w:p w:rsidR="0006338B" w:rsidRDefault="0006338B">
      <w:pPr>
        <w:pStyle w:val="normal0"/>
        <w:pBdr>
          <w:top w:val="nil"/>
          <w:left w:val="nil"/>
          <w:bottom w:val="nil"/>
          <w:right w:val="nil"/>
          <w:between w:val="nil"/>
        </w:pBdr>
        <w:ind w:right="40"/>
        <w:jc w:val="both"/>
        <w:rPr>
          <w:rFonts w:ascii="Arial" w:eastAsia="Arial" w:hAnsi="Arial" w:cs="Arial"/>
        </w:rPr>
      </w:pPr>
    </w:p>
    <w:p w:rsidR="0006338B" w:rsidRDefault="00B944C9">
      <w:pPr>
        <w:pStyle w:val="norm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Explanation of Clauses</w:t>
      </w:r>
    </w:p>
    <w:p w:rsidR="002A3944" w:rsidRDefault="002A3944">
      <w:pPr>
        <w:pStyle w:val="normal0"/>
        <w:pBdr>
          <w:top w:val="nil"/>
          <w:left w:val="nil"/>
          <w:bottom w:val="nil"/>
          <w:right w:val="nil"/>
          <w:between w:val="nil"/>
        </w:pBdr>
        <w:jc w:val="center"/>
        <w:rPr>
          <w:rFonts w:ascii="Arial" w:eastAsia="Arial" w:hAnsi="Arial" w:cs="Arial"/>
          <w:color w:val="000000"/>
        </w:rPr>
      </w:pPr>
    </w:p>
    <w:p w:rsidR="0006338B" w:rsidRDefault="00B944C9">
      <w:pPr>
        <w:pStyle w:val="normal0"/>
        <w:pBdr>
          <w:top w:val="nil"/>
          <w:left w:val="nil"/>
          <w:bottom w:val="nil"/>
          <w:right w:val="nil"/>
          <w:between w:val="nil"/>
        </w:pBdr>
        <w:ind w:right="820"/>
        <w:rPr>
          <w:rFonts w:ascii="Arial" w:eastAsia="Arial" w:hAnsi="Arial" w:cs="Arial"/>
          <w:color w:val="000000"/>
        </w:rPr>
      </w:pPr>
      <w:r>
        <w:rPr>
          <w:rFonts w:ascii="Arial" w:eastAsia="Arial" w:hAnsi="Arial" w:cs="Arial"/>
          <w:i/>
          <w:color w:val="000000"/>
        </w:rPr>
        <w:t xml:space="preserve">Clause 1: Short title </w:t>
      </w:r>
      <w:r>
        <w:rPr>
          <w:rFonts w:ascii="Arial" w:eastAsia="Arial" w:hAnsi="Arial" w:cs="Arial"/>
          <w:color w:val="000000"/>
        </w:rPr>
        <w:t>This clause is formal.</w:t>
      </w:r>
    </w:p>
    <w:p w:rsidR="0006338B" w:rsidRDefault="00B944C9">
      <w:pPr>
        <w:pStyle w:val="normal0"/>
        <w:pBdr>
          <w:top w:val="nil"/>
          <w:left w:val="nil"/>
          <w:bottom w:val="nil"/>
          <w:right w:val="nil"/>
          <w:between w:val="nil"/>
        </w:pBdr>
        <w:ind w:right="40"/>
        <w:jc w:val="both"/>
        <w:rPr>
          <w:rFonts w:ascii="Arial" w:eastAsia="Arial" w:hAnsi="Arial" w:cs="Arial"/>
          <w:i/>
          <w:color w:val="000000"/>
        </w:rPr>
      </w:pPr>
      <w:r>
        <w:rPr>
          <w:rFonts w:ascii="Arial" w:eastAsia="Arial" w:hAnsi="Arial" w:cs="Arial"/>
          <w:i/>
          <w:color w:val="000000"/>
        </w:rPr>
        <w:t>Clause 2: Amendment of s. 33—Delivery of barley</w:t>
      </w:r>
    </w:p>
    <w:p w:rsidR="0006338B" w:rsidRDefault="00B944C9">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i/>
          <w:color w:val="000000"/>
        </w:rPr>
        <w:t xml:space="preserve"> </w:t>
      </w:r>
      <w:r>
        <w:rPr>
          <w:rFonts w:ascii="Arial" w:eastAsia="Arial" w:hAnsi="Arial" w:cs="Arial"/>
          <w:color w:val="000000"/>
        </w:rPr>
        <w:t>This clause amends secti</w:t>
      </w:r>
      <w:r>
        <w:rPr>
          <w:rFonts w:ascii="Arial" w:eastAsia="Arial" w:hAnsi="Arial" w:cs="Arial"/>
          <w:color w:val="000000"/>
        </w:rPr>
        <w:t>on 33 of the principal Act which</w:t>
      </w:r>
      <w:r>
        <w:rPr>
          <w:rFonts w:ascii="Arial" w:eastAsia="Arial" w:hAnsi="Arial" w:cs="Arial"/>
          <w:b/>
          <w:color w:val="000000"/>
        </w:rPr>
        <w:t xml:space="preserve"> </w:t>
      </w:r>
      <w:r w:rsidRPr="002A3944">
        <w:rPr>
          <w:rFonts w:ascii="Arial" w:eastAsia="Arial" w:hAnsi="Arial" w:cs="Arial"/>
          <w:color w:val="000000"/>
        </w:rPr>
        <w:t xml:space="preserve">prohibit </w:t>
      </w:r>
      <w:r>
        <w:rPr>
          <w:rFonts w:ascii="Arial" w:eastAsia="Arial" w:hAnsi="Arial" w:cs="Arial"/>
          <w:color w:val="000000"/>
        </w:rPr>
        <w:t>the sale or delivery of barley for export to a person other than</w:t>
      </w:r>
      <w:r>
        <w:rPr>
          <w:rFonts w:ascii="Arial" w:eastAsia="Arial" w:hAnsi="Arial" w:cs="Arial"/>
          <w:b/>
          <w:color w:val="000000"/>
        </w:rPr>
        <w:t xml:space="preserve"> </w:t>
      </w:r>
      <w:r w:rsidRPr="002A3944">
        <w:rPr>
          <w:rFonts w:ascii="Arial" w:eastAsia="Arial" w:hAnsi="Arial" w:cs="Arial"/>
          <w:color w:val="000000"/>
        </w:rPr>
        <w:t>ABB</w:t>
      </w:r>
      <w:r>
        <w:rPr>
          <w:rFonts w:ascii="Arial" w:eastAsia="Arial" w:hAnsi="Arial" w:cs="Arial"/>
          <w:b/>
          <w:color w:val="000000"/>
        </w:rPr>
        <w:t xml:space="preserve"> </w:t>
      </w:r>
      <w:r>
        <w:rPr>
          <w:rFonts w:ascii="Arial" w:eastAsia="Arial" w:hAnsi="Arial" w:cs="Arial"/>
          <w:color w:val="000000"/>
        </w:rPr>
        <w:t>Grain Export Ltd. The clause adds an exception to</w:t>
      </w:r>
      <w:r>
        <w:rPr>
          <w:rFonts w:ascii="Arial" w:eastAsia="Arial" w:hAnsi="Arial" w:cs="Arial"/>
          <w:b/>
          <w:color w:val="000000"/>
        </w:rPr>
        <w:t xml:space="preserve"> </w:t>
      </w:r>
      <w:r w:rsidRPr="002A3944">
        <w:rPr>
          <w:rFonts w:ascii="Arial" w:eastAsia="Arial" w:hAnsi="Arial" w:cs="Arial"/>
          <w:color w:val="000000"/>
        </w:rPr>
        <w:t>the section</w:t>
      </w:r>
      <w:r>
        <w:rPr>
          <w:rFonts w:ascii="Arial" w:eastAsia="Arial" w:hAnsi="Arial" w:cs="Arial"/>
          <w:b/>
          <w:color w:val="000000"/>
        </w:rPr>
        <w:t xml:space="preserve"> </w:t>
      </w:r>
      <w:r>
        <w:rPr>
          <w:rFonts w:ascii="Arial" w:eastAsia="Arial" w:hAnsi="Arial" w:cs="Arial"/>
          <w:color w:val="000000"/>
        </w:rPr>
        <w:t>excluding from the application of the section propagating</w:t>
      </w:r>
      <w:r>
        <w:rPr>
          <w:rFonts w:ascii="Arial" w:eastAsia="Arial" w:hAnsi="Arial" w:cs="Arial"/>
          <w:b/>
          <w:color w:val="000000"/>
        </w:rPr>
        <w:t xml:space="preserve"> </w:t>
      </w:r>
      <w:r w:rsidRPr="002A3944">
        <w:rPr>
          <w:rFonts w:ascii="Arial" w:eastAsia="Arial" w:hAnsi="Arial" w:cs="Arial"/>
          <w:color w:val="000000"/>
        </w:rPr>
        <w:t>material</w:t>
      </w:r>
      <w:r>
        <w:rPr>
          <w:rFonts w:ascii="Arial" w:eastAsia="Arial" w:hAnsi="Arial" w:cs="Arial"/>
          <w:b/>
          <w:color w:val="000000"/>
        </w:rPr>
        <w:t xml:space="preserve"> </w:t>
      </w:r>
      <w:r>
        <w:rPr>
          <w:rFonts w:ascii="Arial" w:eastAsia="Arial" w:hAnsi="Arial" w:cs="Arial"/>
          <w:color w:val="000000"/>
        </w:rPr>
        <w:t>of a plant varie</w:t>
      </w:r>
      <w:r>
        <w:rPr>
          <w:rFonts w:ascii="Arial" w:eastAsia="Arial" w:hAnsi="Arial" w:cs="Arial"/>
          <w:color w:val="000000"/>
        </w:rPr>
        <w:t>ty covered by a plant breeder's right</w:t>
      </w:r>
      <w:r>
        <w:rPr>
          <w:rFonts w:ascii="Arial" w:eastAsia="Arial" w:hAnsi="Arial" w:cs="Arial"/>
          <w:b/>
          <w:color w:val="000000"/>
        </w:rPr>
        <w:t xml:space="preserve"> </w:t>
      </w:r>
      <w:r w:rsidRPr="002A3944">
        <w:rPr>
          <w:rFonts w:ascii="Arial" w:eastAsia="Arial" w:hAnsi="Arial" w:cs="Arial"/>
          <w:color w:val="000000"/>
        </w:rPr>
        <w:t>under the</w:t>
      </w:r>
      <w:r>
        <w:rPr>
          <w:rFonts w:ascii="Arial" w:eastAsia="Arial" w:hAnsi="Arial" w:cs="Arial"/>
          <w:b/>
          <w:color w:val="000000"/>
        </w:rPr>
        <w:t xml:space="preserve"> </w:t>
      </w:r>
      <w:r>
        <w:rPr>
          <w:rFonts w:ascii="Arial" w:eastAsia="Arial" w:hAnsi="Arial" w:cs="Arial"/>
          <w:color w:val="000000"/>
        </w:rPr>
        <w:t>Commonwealth</w:t>
      </w:r>
      <w:r>
        <w:rPr>
          <w:rFonts w:ascii="Arial" w:eastAsia="Arial" w:hAnsi="Arial" w:cs="Arial"/>
          <w:i/>
          <w:color w:val="000000"/>
        </w:rPr>
        <w:t xml:space="preserve"> Plant Breeder's Rights Act 1994</w:t>
      </w:r>
      <w:r>
        <w:rPr>
          <w:rFonts w:ascii="Arial" w:eastAsia="Arial" w:hAnsi="Arial" w:cs="Arial"/>
          <w:color w:val="000000"/>
        </w:rPr>
        <w:t xml:space="preserve"> if it is</w:t>
      </w:r>
      <w:r>
        <w:rPr>
          <w:rFonts w:ascii="Arial" w:eastAsia="Arial" w:hAnsi="Arial" w:cs="Arial"/>
          <w:b/>
          <w:color w:val="000000"/>
        </w:rPr>
        <w:t xml:space="preserve"> </w:t>
      </w:r>
      <w:r w:rsidRPr="002A3944">
        <w:rPr>
          <w:rFonts w:ascii="Arial" w:eastAsia="Arial" w:hAnsi="Arial" w:cs="Arial"/>
          <w:color w:val="000000"/>
        </w:rPr>
        <w:t>sold, deliv</w:t>
      </w:r>
      <w:r w:rsidRPr="002A3944">
        <w:rPr>
          <w:rFonts w:ascii="Arial" w:eastAsia="Arial" w:hAnsi="Arial" w:cs="Arial"/>
          <w:color w:val="000000"/>
        </w:rPr>
        <w:t>ered</w:t>
      </w:r>
      <w:r>
        <w:rPr>
          <w:rFonts w:ascii="Arial" w:eastAsia="Arial" w:hAnsi="Arial" w:cs="Arial"/>
          <w:color w:val="000000"/>
        </w:rPr>
        <w:t xml:space="preserve"> or purchased for a purpose involving the production or</w:t>
      </w:r>
      <w:r>
        <w:rPr>
          <w:rFonts w:ascii="Arial" w:eastAsia="Arial" w:hAnsi="Arial" w:cs="Arial"/>
          <w:b/>
          <w:color w:val="000000"/>
        </w:rPr>
        <w:t xml:space="preserve"> </w:t>
      </w:r>
      <w:r w:rsidRPr="002A3944">
        <w:rPr>
          <w:rFonts w:ascii="Arial" w:eastAsia="Arial" w:hAnsi="Arial" w:cs="Arial"/>
          <w:color w:val="000000"/>
        </w:rPr>
        <w:t>repro</w:t>
      </w:r>
      <w:r>
        <w:rPr>
          <w:rFonts w:ascii="Arial" w:eastAsia="Arial" w:hAnsi="Arial" w:cs="Arial"/>
          <w:color w:val="000000"/>
        </w:rPr>
        <w:t>duction of the propagating material.</w:t>
      </w:r>
    </w:p>
    <w:p w:rsidR="0006338B" w:rsidRDefault="00B944C9">
      <w:pPr>
        <w:pStyle w:val="normal0"/>
        <w:pBdr>
          <w:top w:val="nil"/>
          <w:left w:val="nil"/>
          <w:bottom w:val="nil"/>
          <w:right w:val="nil"/>
          <w:between w:val="nil"/>
        </w:pBdr>
        <w:spacing w:after="89"/>
        <w:ind w:right="40"/>
        <w:jc w:val="both"/>
        <w:rPr>
          <w:rFonts w:ascii="Arial" w:eastAsia="Arial" w:hAnsi="Arial" w:cs="Arial"/>
          <w:i/>
          <w:color w:val="000000"/>
        </w:rPr>
      </w:pPr>
      <w:r>
        <w:rPr>
          <w:rFonts w:ascii="Arial" w:eastAsia="Arial" w:hAnsi="Arial" w:cs="Arial"/>
          <w:i/>
          <w:color w:val="000000"/>
        </w:rPr>
        <w:t>Clause 3: Amendment of s. 35—Authorised receivers</w:t>
      </w:r>
    </w:p>
    <w:p w:rsidR="0006338B" w:rsidRDefault="00B944C9">
      <w:pPr>
        <w:pStyle w:val="normal0"/>
        <w:pBdr>
          <w:top w:val="nil"/>
          <w:left w:val="nil"/>
          <w:bottom w:val="nil"/>
          <w:right w:val="nil"/>
          <w:between w:val="nil"/>
        </w:pBdr>
        <w:spacing w:after="89"/>
        <w:ind w:right="40"/>
        <w:jc w:val="both"/>
        <w:rPr>
          <w:rFonts w:ascii="Arial" w:eastAsia="Arial" w:hAnsi="Arial" w:cs="Arial"/>
          <w:color w:val="000000"/>
        </w:rPr>
      </w:pPr>
      <w:r>
        <w:rPr>
          <w:rFonts w:ascii="Arial" w:eastAsia="Arial" w:hAnsi="Arial" w:cs="Arial"/>
          <w:i/>
          <w:color w:val="000000"/>
        </w:rPr>
        <w:t xml:space="preserve"> </w:t>
      </w:r>
      <w:r>
        <w:rPr>
          <w:rFonts w:ascii="Arial" w:eastAsia="Arial" w:hAnsi="Arial" w:cs="Arial"/>
          <w:color w:val="000000"/>
        </w:rPr>
        <w:t>This clause amends section 35 of the principal Act which</w:t>
      </w:r>
      <w:r>
        <w:rPr>
          <w:rFonts w:ascii="Arial" w:eastAsia="Arial" w:hAnsi="Arial" w:cs="Arial"/>
          <w:b/>
          <w:color w:val="000000"/>
        </w:rPr>
        <w:t xml:space="preserve"> </w:t>
      </w:r>
      <w:r w:rsidRPr="002A3944">
        <w:rPr>
          <w:rFonts w:ascii="Arial" w:eastAsia="Arial" w:hAnsi="Arial" w:cs="Arial"/>
          <w:color w:val="000000"/>
        </w:rPr>
        <w:t>provides</w:t>
      </w:r>
      <w:r>
        <w:rPr>
          <w:rFonts w:ascii="Arial" w:eastAsia="Arial" w:hAnsi="Arial" w:cs="Arial"/>
          <w:b/>
          <w:color w:val="000000"/>
        </w:rPr>
        <w:t xml:space="preserve"> </w:t>
      </w:r>
      <w:r>
        <w:rPr>
          <w:rFonts w:ascii="Arial" w:eastAsia="Arial" w:hAnsi="Arial" w:cs="Arial"/>
          <w:color w:val="000000"/>
        </w:rPr>
        <w:t>for the appointment by ABB Grain Export Ltd of</w:t>
      </w:r>
      <w:r>
        <w:rPr>
          <w:rFonts w:ascii="Arial" w:eastAsia="Arial" w:hAnsi="Arial" w:cs="Arial"/>
          <w:b/>
          <w:color w:val="000000"/>
        </w:rPr>
        <w:t xml:space="preserve"> </w:t>
      </w:r>
      <w:r w:rsidRPr="002A3944">
        <w:rPr>
          <w:rFonts w:ascii="Arial" w:eastAsia="Arial" w:hAnsi="Arial" w:cs="Arial"/>
          <w:color w:val="000000"/>
        </w:rPr>
        <w:t>authorised</w:t>
      </w:r>
      <w:r>
        <w:rPr>
          <w:rFonts w:ascii="Arial" w:eastAsia="Arial" w:hAnsi="Arial" w:cs="Arial"/>
          <w:b/>
          <w:color w:val="000000"/>
        </w:rPr>
        <w:t xml:space="preserve"> </w:t>
      </w:r>
      <w:r>
        <w:rPr>
          <w:rFonts w:ascii="Arial" w:eastAsia="Arial" w:hAnsi="Arial" w:cs="Arial"/>
          <w:color w:val="000000"/>
        </w:rPr>
        <w:t>receivers to receive barley for the company. The clause</w:t>
      </w:r>
      <w:r w:rsidRPr="002A3944">
        <w:rPr>
          <w:rFonts w:ascii="Arial" w:eastAsia="Arial" w:hAnsi="Arial" w:cs="Arial"/>
          <w:color w:val="000000"/>
        </w:rPr>
        <w:t xml:space="preserve"> removes</w:t>
      </w:r>
      <w:r>
        <w:rPr>
          <w:rFonts w:ascii="Arial" w:eastAsia="Arial" w:hAnsi="Arial" w:cs="Arial"/>
          <w:b/>
          <w:color w:val="000000"/>
        </w:rPr>
        <w:t xml:space="preserve"> </w:t>
      </w:r>
      <w:r>
        <w:rPr>
          <w:rFonts w:ascii="Arial" w:eastAsia="Arial" w:hAnsi="Arial" w:cs="Arial"/>
          <w:color w:val="000000"/>
        </w:rPr>
        <w:t xml:space="preserve">from the section </w:t>
      </w:r>
      <w:r>
        <w:rPr>
          <w:rFonts w:ascii="Arial" w:eastAsia="Arial" w:hAnsi="Arial" w:cs="Arial"/>
          <w:color w:val="000000"/>
        </w:rPr>
        <w:t>a restriction contained in subsection (5)</w:t>
      </w:r>
      <w:r>
        <w:rPr>
          <w:rFonts w:ascii="Arial" w:eastAsia="Arial" w:hAnsi="Arial" w:cs="Arial"/>
          <w:b/>
          <w:color w:val="000000"/>
        </w:rPr>
        <w:t xml:space="preserve"> </w:t>
      </w:r>
      <w:r w:rsidRPr="002A3944">
        <w:rPr>
          <w:rFonts w:ascii="Arial" w:eastAsia="Arial" w:hAnsi="Arial" w:cs="Arial"/>
          <w:color w:val="000000"/>
        </w:rPr>
        <w:t>under which</w:t>
      </w:r>
      <w:r>
        <w:rPr>
          <w:rFonts w:ascii="Arial" w:eastAsia="Arial" w:hAnsi="Arial" w:cs="Arial"/>
          <w:b/>
          <w:color w:val="000000"/>
        </w:rPr>
        <w:t xml:space="preserve"> </w:t>
      </w:r>
      <w:r>
        <w:rPr>
          <w:rFonts w:ascii="Arial" w:eastAsia="Arial" w:hAnsi="Arial" w:cs="Arial"/>
          <w:color w:val="000000"/>
        </w:rPr>
        <w:t>an authorised receiver must not have a direct or indirect</w:t>
      </w:r>
      <w:r>
        <w:rPr>
          <w:rFonts w:ascii="Arial" w:eastAsia="Arial" w:hAnsi="Arial" w:cs="Arial"/>
          <w:b/>
          <w:color w:val="000000"/>
        </w:rPr>
        <w:t xml:space="preserve"> </w:t>
      </w:r>
      <w:r w:rsidRPr="002A3944">
        <w:rPr>
          <w:rFonts w:ascii="Arial" w:eastAsia="Arial" w:hAnsi="Arial" w:cs="Arial"/>
          <w:color w:val="000000"/>
        </w:rPr>
        <w:t>interest in</w:t>
      </w:r>
      <w:r>
        <w:rPr>
          <w:rFonts w:ascii="Arial" w:eastAsia="Arial" w:hAnsi="Arial" w:cs="Arial"/>
          <w:b/>
          <w:color w:val="000000"/>
        </w:rPr>
        <w:t xml:space="preserve"> </w:t>
      </w:r>
      <w:r>
        <w:rPr>
          <w:rFonts w:ascii="Arial" w:eastAsia="Arial" w:hAnsi="Arial" w:cs="Arial"/>
          <w:color w:val="000000"/>
        </w:rPr>
        <w:t>a business involving the buying or selling of barley.</w:t>
      </w:r>
    </w:p>
    <w:p w:rsidR="002A3944" w:rsidRDefault="002A3944">
      <w:pPr>
        <w:pStyle w:val="normal0"/>
        <w:pBdr>
          <w:top w:val="nil"/>
          <w:left w:val="nil"/>
          <w:bottom w:val="nil"/>
          <w:right w:val="nil"/>
          <w:between w:val="nil"/>
        </w:pBdr>
        <w:spacing w:after="89"/>
        <w:ind w:right="40"/>
        <w:jc w:val="both"/>
        <w:rPr>
          <w:rFonts w:ascii="Arial" w:eastAsia="Arial" w:hAnsi="Arial" w:cs="Arial"/>
          <w:color w:val="000000"/>
        </w:rPr>
      </w:pPr>
    </w:p>
    <w:p w:rsidR="0006338B" w:rsidRDefault="00B944C9">
      <w:pPr>
        <w:pStyle w:val="normal0"/>
        <w:keepNext/>
        <w:keepLines/>
        <w:pBdr>
          <w:top w:val="nil"/>
          <w:left w:val="nil"/>
          <w:bottom w:val="nil"/>
          <w:right w:val="nil"/>
          <w:between w:val="nil"/>
        </w:pBdr>
        <w:spacing w:after="141"/>
        <w:ind w:right="40"/>
        <w:jc w:val="both"/>
        <w:rPr>
          <w:rFonts w:ascii="Arial" w:eastAsia="Arial" w:hAnsi="Arial" w:cs="Arial"/>
          <w:color w:val="000000"/>
        </w:rPr>
      </w:pPr>
      <w:r>
        <w:rPr>
          <w:rFonts w:ascii="Arial" w:eastAsia="Arial" w:hAnsi="Arial" w:cs="Arial"/>
          <w:b/>
          <w:color w:val="000000"/>
        </w:rPr>
        <w:t xml:space="preserve">The Hon. CAROLYN PICKLES </w:t>
      </w:r>
      <w:r>
        <w:rPr>
          <w:rFonts w:ascii="Arial" w:eastAsia="Arial" w:hAnsi="Arial" w:cs="Arial"/>
          <w:color w:val="000000"/>
        </w:rPr>
        <w:t>secured the adjournment of the debate.</w:t>
      </w:r>
    </w:p>
    <w:sectPr w:rsidR="0006338B" w:rsidSect="0006338B">
      <w:type w:val="continuous"/>
      <w:pgSz w:w="11906" w:h="16838"/>
      <w:pgMar w:top="1281" w:right="1411" w:bottom="2131" w:left="1137" w:header="0" w:footer="3" w:gutter="0"/>
      <w:cols w:space="720" w:equalWidth="0">
        <w:col w:w="9356"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4C9" w:rsidRDefault="00B944C9" w:rsidP="002A3944">
      <w:r>
        <w:separator/>
      </w:r>
    </w:p>
  </w:endnote>
  <w:endnote w:type="continuationSeparator" w:id="1">
    <w:p w:rsidR="00B944C9" w:rsidRDefault="00B944C9" w:rsidP="002A3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44" w:rsidRDefault="002A3944" w:rsidP="002A3944">
    <w:pPr>
      <w:pStyle w:val="Footer"/>
      <w:jc w:val="right"/>
      <w:rPr>
        <w:color w:val="548DD4" w:themeColor="text2" w:themeTint="99"/>
      </w:rPr>
    </w:pPr>
    <w:r>
      <w:rPr>
        <w:rFonts w:hint="eastAsia"/>
        <w:noProof/>
        <w:color w:val="548DD4" w:themeColor="text2" w:themeTint="99"/>
      </w:rPr>
      <w:t>History of Agriculture South Australia</w:t>
    </w:r>
  </w:p>
  <w:p w:rsidR="002A3944" w:rsidRDefault="002A3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4C9" w:rsidRDefault="00B944C9" w:rsidP="002A3944">
      <w:r>
        <w:separator/>
      </w:r>
    </w:p>
  </w:footnote>
  <w:footnote w:type="continuationSeparator" w:id="1">
    <w:p w:rsidR="00B944C9" w:rsidRDefault="00B944C9" w:rsidP="002A3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851BA"/>
    <w:multiLevelType w:val="multilevel"/>
    <w:tmpl w:val="A364DB7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15"/>
        <w:szCs w:val="15"/>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338B"/>
    <w:rsid w:val="0006338B"/>
    <w:rsid w:val="002A3944"/>
    <w:rsid w:val="00B94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6338B"/>
    <w:pPr>
      <w:keepNext/>
      <w:keepLines/>
      <w:spacing w:before="480" w:after="120"/>
      <w:outlineLvl w:val="0"/>
    </w:pPr>
    <w:rPr>
      <w:b/>
      <w:sz w:val="48"/>
      <w:szCs w:val="48"/>
    </w:rPr>
  </w:style>
  <w:style w:type="paragraph" w:styleId="Heading2">
    <w:name w:val="heading 2"/>
    <w:basedOn w:val="normal0"/>
    <w:next w:val="normal0"/>
    <w:rsid w:val="0006338B"/>
    <w:pPr>
      <w:keepNext/>
      <w:keepLines/>
      <w:spacing w:before="360" w:after="80"/>
      <w:outlineLvl w:val="1"/>
    </w:pPr>
    <w:rPr>
      <w:b/>
      <w:sz w:val="36"/>
      <w:szCs w:val="36"/>
    </w:rPr>
  </w:style>
  <w:style w:type="paragraph" w:styleId="Heading3">
    <w:name w:val="heading 3"/>
    <w:basedOn w:val="normal0"/>
    <w:next w:val="normal0"/>
    <w:rsid w:val="0006338B"/>
    <w:pPr>
      <w:keepNext/>
      <w:keepLines/>
      <w:spacing w:before="280" w:after="80"/>
      <w:outlineLvl w:val="2"/>
    </w:pPr>
    <w:rPr>
      <w:b/>
      <w:sz w:val="28"/>
      <w:szCs w:val="28"/>
    </w:rPr>
  </w:style>
  <w:style w:type="paragraph" w:styleId="Heading4">
    <w:name w:val="heading 4"/>
    <w:basedOn w:val="normal0"/>
    <w:next w:val="normal0"/>
    <w:rsid w:val="0006338B"/>
    <w:pPr>
      <w:keepNext/>
      <w:keepLines/>
      <w:spacing w:before="240" w:after="40"/>
      <w:outlineLvl w:val="3"/>
    </w:pPr>
    <w:rPr>
      <w:b/>
    </w:rPr>
  </w:style>
  <w:style w:type="paragraph" w:styleId="Heading5">
    <w:name w:val="heading 5"/>
    <w:basedOn w:val="normal0"/>
    <w:next w:val="normal0"/>
    <w:rsid w:val="0006338B"/>
    <w:pPr>
      <w:keepNext/>
      <w:keepLines/>
      <w:spacing w:before="220" w:after="40"/>
      <w:outlineLvl w:val="4"/>
    </w:pPr>
    <w:rPr>
      <w:b/>
      <w:sz w:val="22"/>
      <w:szCs w:val="22"/>
    </w:rPr>
  </w:style>
  <w:style w:type="paragraph" w:styleId="Heading6">
    <w:name w:val="heading 6"/>
    <w:basedOn w:val="normal0"/>
    <w:next w:val="normal0"/>
    <w:rsid w:val="000633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338B"/>
  </w:style>
  <w:style w:type="paragraph" w:styleId="Title">
    <w:name w:val="Title"/>
    <w:basedOn w:val="normal0"/>
    <w:next w:val="normal0"/>
    <w:rsid w:val="0006338B"/>
    <w:pPr>
      <w:keepNext/>
      <w:keepLines/>
      <w:spacing w:before="480" w:after="120"/>
    </w:pPr>
    <w:rPr>
      <w:b/>
      <w:sz w:val="72"/>
      <w:szCs w:val="72"/>
    </w:rPr>
  </w:style>
  <w:style w:type="paragraph" w:styleId="Subtitle">
    <w:name w:val="Subtitle"/>
    <w:basedOn w:val="normal0"/>
    <w:next w:val="normal0"/>
    <w:rsid w:val="0006338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A3944"/>
    <w:pPr>
      <w:tabs>
        <w:tab w:val="center" w:pos="4680"/>
        <w:tab w:val="right" w:pos="9360"/>
      </w:tabs>
    </w:pPr>
  </w:style>
  <w:style w:type="character" w:customStyle="1" w:styleId="HeaderChar">
    <w:name w:val="Header Char"/>
    <w:basedOn w:val="DefaultParagraphFont"/>
    <w:link w:val="Header"/>
    <w:uiPriority w:val="99"/>
    <w:semiHidden/>
    <w:rsid w:val="002A3944"/>
  </w:style>
  <w:style w:type="paragraph" w:styleId="Footer">
    <w:name w:val="footer"/>
    <w:basedOn w:val="Normal"/>
    <w:link w:val="FooterChar"/>
    <w:uiPriority w:val="99"/>
    <w:semiHidden/>
    <w:unhideWhenUsed/>
    <w:rsid w:val="002A3944"/>
    <w:pPr>
      <w:tabs>
        <w:tab w:val="center" w:pos="4680"/>
        <w:tab w:val="right" w:pos="9360"/>
      </w:tabs>
    </w:pPr>
  </w:style>
  <w:style w:type="character" w:customStyle="1" w:styleId="FooterChar">
    <w:name w:val="Footer Char"/>
    <w:basedOn w:val="DefaultParagraphFont"/>
    <w:link w:val="Footer"/>
    <w:uiPriority w:val="99"/>
    <w:semiHidden/>
    <w:rsid w:val="002A39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2019-12-27T06:42:00Z</dcterms:created>
  <dcterms:modified xsi:type="dcterms:W3CDTF">2019-12-27T06:50:00Z</dcterms:modified>
</cp:coreProperties>
</file>