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FDB3" w14:textId="77777777" w:rsidR="00B4031F" w:rsidRPr="0061006D" w:rsidRDefault="0061006D" w:rsidP="00B4031F">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61006D">
        <w:rPr>
          <w:rStyle w:val="Headerorfooter65pt"/>
          <w:rFonts w:ascii="Arial" w:eastAsia="Arial Unicode MS" w:hAnsi="Arial" w:cs="Arial"/>
          <w:b/>
          <w:bCs/>
          <w:i w:val="0"/>
          <w:iCs w:val="0"/>
          <w:smallCaps/>
          <w:color w:val="00439E"/>
          <w:spacing w:val="1"/>
          <w:kern w:val="0"/>
          <w:sz w:val="32"/>
          <w:szCs w:val="32"/>
          <w:lang w:val="en-AU" w:eastAsia="en-AU"/>
          <w14:ligatures w14:val="none"/>
        </w:rPr>
        <w:t>WATER CONSERVATION ACT AMENDMENT BILL 1969</w:t>
      </w:r>
    </w:p>
    <w:p w14:paraId="22BC89BB" w14:textId="77777777" w:rsidR="00B4031F" w:rsidRPr="00B4031F" w:rsidRDefault="00B4031F" w:rsidP="00B4031F">
      <w:pPr>
        <w:spacing w:after="0"/>
        <w:rPr>
          <w:rFonts w:ascii="Arial" w:hAnsi="Arial" w:cs="Arial"/>
          <w:sz w:val="24"/>
          <w:szCs w:val="24"/>
        </w:rPr>
      </w:pPr>
    </w:p>
    <w:p w14:paraId="35FC8C46" w14:textId="2BF51C26" w:rsidR="00B4031F" w:rsidRPr="00A73F1A" w:rsidRDefault="00B4031F" w:rsidP="00A73F1A">
      <w:pPr>
        <w:rPr>
          <w:rFonts w:ascii="Arial" w:hAnsi="Arial" w:cs="Arial"/>
          <w:b/>
          <w:bCs/>
          <w:color w:val="365F91" w:themeColor="accent1" w:themeShade="BF"/>
          <w:sz w:val="28"/>
          <w:szCs w:val="28"/>
        </w:rPr>
      </w:pPr>
      <w:r w:rsidRPr="00A73F1A">
        <w:rPr>
          <w:rFonts w:ascii="Arial" w:hAnsi="Arial" w:cs="Arial"/>
          <w:b/>
          <w:bCs/>
          <w:color w:val="365F91" w:themeColor="accent1" w:themeShade="BF"/>
          <w:sz w:val="28"/>
          <w:szCs w:val="28"/>
        </w:rPr>
        <w:t>L</w:t>
      </w:r>
      <w:r w:rsidR="00A73F1A" w:rsidRPr="00A73F1A">
        <w:rPr>
          <w:rFonts w:ascii="Arial" w:hAnsi="Arial" w:cs="Arial"/>
          <w:b/>
          <w:bCs/>
          <w:color w:val="365F91" w:themeColor="accent1" w:themeShade="BF"/>
          <w:sz w:val="28"/>
          <w:szCs w:val="28"/>
        </w:rPr>
        <w:t>egislative</w:t>
      </w:r>
      <w:r w:rsidRPr="00A73F1A">
        <w:rPr>
          <w:rFonts w:ascii="Arial" w:hAnsi="Arial" w:cs="Arial"/>
          <w:b/>
          <w:bCs/>
          <w:color w:val="365F91" w:themeColor="accent1" w:themeShade="BF"/>
          <w:sz w:val="28"/>
          <w:szCs w:val="28"/>
        </w:rPr>
        <w:t xml:space="preserve"> C</w:t>
      </w:r>
      <w:r w:rsidR="00A73F1A" w:rsidRPr="00A73F1A">
        <w:rPr>
          <w:rFonts w:ascii="Arial" w:hAnsi="Arial" w:cs="Arial"/>
          <w:b/>
          <w:bCs/>
          <w:color w:val="365F91" w:themeColor="accent1" w:themeShade="BF"/>
          <w:sz w:val="28"/>
          <w:szCs w:val="28"/>
        </w:rPr>
        <w:t>ouncil,</w:t>
      </w:r>
      <w:r w:rsidRPr="00A73F1A">
        <w:rPr>
          <w:rFonts w:ascii="Arial" w:hAnsi="Arial" w:cs="Arial"/>
          <w:b/>
          <w:bCs/>
          <w:color w:val="365F91" w:themeColor="accent1" w:themeShade="BF"/>
          <w:sz w:val="28"/>
          <w:szCs w:val="28"/>
        </w:rPr>
        <w:t xml:space="preserve"> 28 O</w:t>
      </w:r>
      <w:r w:rsidR="00A73F1A" w:rsidRPr="00A73F1A">
        <w:rPr>
          <w:rFonts w:ascii="Arial" w:hAnsi="Arial" w:cs="Arial"/>
          <w:b/>
          <w:bCs/>
          <w:color w:val="365F91" w:themeColor="accent1" w:themeShade="BF"/>
          <w:sz w:val="28"/>
          <w:szCs w:val="28"/>
        </w:rPr>
        <w:t>ctober</w:t>
      </w:r>
      <w:r w:rsidRPr="00A73F1A">
        <w:rPr>
          <w:rFonts w:ascii="Arial" w:hAnsi="Arial" w:cs="Arial"/>
          <w:b/>
          <w:bCs/>
          <w:color w:val="365F91" w:themeColor="accent1" w:themeShade="BF"/>
          <w:sz w:val="28"/>
          <w:szCs w:val="28"/>
        </w:rPr>
        <w:t xml:space="preserve"> 1969, </w:t>
      </w:r>
      <w:r w:rsidR="00A73F1A" w:rsidRPr="00A73F1A">
        <w:rPr>
          <w:rFonts w:ascii="Arial" w:hAnsi="Arial" w:cs="Arial"/>
          <w:b/>
          <w:bCs/>
          <w:color w:val="365F91" w:themeColor="accent1" w:themeShade="BF"/>
          <w:sz w:val="28"/>
          <w:szCs w:val="28"/>
        </w:rPr>
        <w:t>page</w:t>
      </w:r>
      <w:r w:rsidRPr="00A73F1A">
        <w:rPr>
          <w:rFonts w:ascii="Arial" w:hAnsi="Arial" w:cs="Arial"/>
          <w:b/>
          <w:bCs/>
          <w:color w:val="365F91" w:themeColor="accent1" w:themeShade="BF"/>
          <w:sz w:val="28"/>
          <w:szCs w:val="28"/>
        </w:rPr>
        <w:t xml:space="preserve"> 2486</w:t>
      </w:r>
    </w:p>
    <w:p w14:paraId="349E1BE4" w14:textId="77777777" w:rsidR="00B4031F" w:rsidRPr="00B4031F" w:rsidRDefault="00B4031F" w:rsidP="00B4031F">
      <w:pPr>
        <w:spacing w:after="0"/>
        <w:rPr>
          <w:rFonts w:ascii="Arial" w:hAnsi="Arial" w:cs="Arial"/>
          <w:sz w:val="24"/>
          <w:szCs w:val="24"/>
        </w:rPr>
      </w:pPr>
    </w:p>
    <w:p w14:paraId="30A0D817" w14:textId="0BDFE66E" w:rsidR="00B4031F" w:rsidRPr="00A73F1A" w:rsidRDefault="00B4031F" w:rsidP="00B4031F">
      <w:pPr>
        <w:spacing w:after="0"/>
        <w:rPr>
          <w:rStyle w:val="Headerorfooter65pt"/>
          <w:rFonts w:ascii="Arial" w:eastAsia="Arial Unicode MS" w:hAnsi="Arial" w:cs="Arial"/>
          <w:i w:val="0"/>
          <w:iCs w:val="0"/>
          <w:color w:val="00439E"/>
          <w:spacing w:val="1"/>
          <w:kern w:val="0"/>
          <w:sz w:val="28"/>
          <w:szCs w:val="28"/>
          <w:lang w:val="en-AU" w:eastAsia="en-AU"/>
          <w14:ligatures w14:val="none"/>
        </w:rPr>
      </w:pPr>
      <w:r w:rsidRPr="00A73F1A">
        <w:rPr>
          <w:rStyle w:val="Headerorfooter65pt"/>
          <w:rFonts w:ascii="Arial" w:eastAsia="Arial Unicode MS" w:hAnsi="Arial" w:cs="Arial"/>
          <w:i w:val="0"/>
          <w:iCs w:val="0"/>
          <w:color w:val="00439E"/>
          <w:spacing w:val="1"/>
          <w:kern w:val="0"/>
          <w:sz w:val="28"/>
          <w:szCs w:val="28"/>
          <w:lang w:val="en-AU" w:eastAsia="en-AU"/>
          <w14:ligatures w14:val="none"/>
        </w:rPr>
        <w:t xml:space="preserve">Second </w:t>
      </w:r>
      <w:r w:rsidR="00A73F1A" w:rsidRPr="00A73F1A">
        <w:rPr>
          <w:rStyle w:val="Headerorfooter65pt"/>
          <w:rFonts w:ascii="Arial" w:eastAsia="Arial Unicode MS" w:hAnsi="Arial" w:cs="Arial"/>
          <w:i w:val="0"/>
          <w:iCs w:val="0"/>
          <w:color w:val="00439E"/>
          <w:spacing w:val="1"/>
          <w:kern w:val="0"/>
          <w:sz w:val="28"/>
          <w:szCs w:val="28"/>
          <w:lang w:val="en-AU" w:eastAsia="en-AU"/>
          <w14:ligatures w14:val="none"/>
        </w:rPr>
        <w:t>r</w:t>
      </w:r>
      <w:r w:rsidRPr="00A73F1A">
        <w:rPr>
          <w:rStyle w:val="Headerorfooter65pt"/>
          <w:rFonts w:ascii="Arial" w:eastAsia="Arial Unicode MS" w:hAnsi="Arial" w:cs="Arial"/>
          <w:i w:val="0"/>
          <w:iCs w:val="0"/>
          <w:color w:val="00439E"/>
          <w:spacing w:val="1"/>
          <w:kern w:val="0"/>
          <w:sz w:val="28"/>
          <w:szCs w:val="28"/>
          <w:lang w:val="en-AU" w:eastAsia="en-AU"/>
          <w14:ligatures w14:val="none"/>
        </w:rPr>
        <w:t>eading</w:t>
      </w:r>
    </w:p>
    <w:p w14:paraId="258EB12A" w14:textId="77777777" w:rsidR="00B4031F" w:rsidRPr="00B4031F" w:rsidRDefault="00B4031F" w:rsidP="00B4031F">
      <w:pPr>
        <w:spacing w:after="0"/>
        <w:rPr>
          <w:rFonts w:ascii="Arial" w:hAnsi="Arial" w:cs="Arial"/>
          <w:sz w:val="24"/>
          <w:szCs w:val="24"/>
        </w:rPr>
      </w:pPr>
    </w:p>
    <w:p w14:paraId="6E2F64AF" w14:textId="77777777" w:rsidR="00B4031F" w:rsidRPr="00B4031F" w:rsidRDefault="00B4031F" w:rsidP="00B4031F">
      <w:pPr>
        <w:spacing w:after="0"/>
        <w:rPr>
          <w:rFonts w:ascii="Arial" w:hAnsi="Arial" w:cs="Arial"/>
          <w:sz w:val="24"/>
          <w:szCs w:val="24"/>
        </w:rPr>
      </w:pPr>
      <w:r w:rsidRPr="00A73F1A">
        <w:rPr>
          <w:rFonts w:ascii="Arial" w:hAnsi="Arial" w:cs="Arial"/>
          <w:b/>
          <w:bCs/>
          <w:sz w:val="24"/>
          <w:szCs w:val="24"/>
        </w:rPr>
        <w:t>The Hon. C. M. HILL (Minister of Local Government</w:t>
      </w:r>
      <w:r w:rsidRPr="00B4031F">
        <w:rPr>
          <w:rFonts w:ascii="Arial" w:hAnsi="Arial" w:cs="Arial"/>
          <w:sz w:val="24"/>
          <w:szCs w:val="24"/>
        </w:rPr>
        <w:t xml:space="preserve">): I move: </w:t>
      </w:r>
    </w:p>
    <w:p w14:paraId="2B3671E8" w14:textId="77777777" w:rsidR="00B4031F" w:rsidRPr="00B4031F" w:rsidRDefault="00B4031F" w:rsidP="00B4031F">
      <w:pPr>
        <w:spacing w:after="0"/>
        <w:rPr>
          <w:rFonts w:ascii="Arial" w:hAnsi="Arial" w:cs="Arial"/>
          <w:i/>
          <w:iCs/>
          <w:sz w:val="24"/>
          <w:szCs w:val="24"/>
        </w:rPr>
      </w:pPr>
      <w:r w:rsidRPr="00B4031F">
        <w:rPr>
          <w:rFonts w:ascii="Arial" w:hAnsi="Arial" w:cs="Arial"/>
          <w:i/>
          <w:iCs/>
          <w:sz w:val="24"/>
          <w:szCs w:val="24"/>
        </w:rPr>
        <w:t xml:space="preserve">That this Bill be now read a second time. </w:t>
      </w:r>
    </w:p>
    <w:p w14:paraId="62BC8D26" w14:textId="77777777" w:rsidR="00B4031F" w:rsidRPr="00B4031F" w:rsidRDefault="00B4031F" w:rsidP="00B4031F">
      <w:pPr>
        <w:spacing w:after="0"/>
        <w:rPr>
          <w:rFonts w:ascii="Arial" w:hAnsi="Arial" w:cs="Arial"/>
          <w:sz w:val="24"/>
          <w:szCs w:val="24"/>
        </w:rPr>
      </w:pPr>
    </w:p>
    <w:p w14:paraId="767FC9A9" w14:textId="23B7033A" w:rsidR="00B4031F" w:rsidRPr="00B4031F" w:rsidRDefault="00B4031F" w:rsidP="00B4031F">
      <w:pPr>
        <w:spacing w:after="0"/>
        <w:rPr>
          <w:rFonts w:ascii="Arial" w:hAnsi="Arial" w:cs="Arial"/>
          <w:sz w:val="24"/>
          <w:szCs w:val="24"/>
        </w:rPr>
      </w:pPr>
      <w:r w:rsidRPr="00B4031F">
        <w:rPr>
          <w:rFonts w:ascii="Arial" w:hAnsi="Arial" w:cs="Arial"/>
          <w:sz w:val="24"/>
          <w:szCs w:val="24"/>
        </w:rPr>
        <w:t>It is complementary to the Supreme Court Act Amendment Bill at present before the Council.</w:t>
      </w:r>
      <w:r w:rsidR="00A73F1A">
        <w:rPr>
          <w:rFonts w:ascii="Arial" w:hAnsi="Arial" w:cs="Arial"/>
          <w:sz w:val="24"/>
          <w:szCs w:val="24"/>
        </w:rPr>
        <w:t xml:space="preserve"> </w:t>
      </w:r>
      <w:r w:rsidRPr="00B4031F">
        <w:rPr>
          <w:rFonts w:ascii="Arial" w:hAnsi="Arial" w:cs="Arial"/>
          <w:sz w:val="24"/>
          <w:szCs w:val="24"/>
        </w:rPr>
        <w:t xml:space="preserve"> Its purpose is to vest certain valuation jurisdictions existing under the Water Conservation Act in the Land and Valuation Court. </w:t>
      </w:r>
    </w:p>
    <w:p w14:paraId="1F6856F3" w14:textId="77777777" w:rsidR="00B4031F" w:rsidRPr="00B4031F" w:rsidRDefault="00B4031F" w:rsidP="00B4031F">
      <w:pPr>
        <w:spacing w:after="0"/>
        <w:rPr>
          <w:rFonts w:ascii="Arial" w:hAnsi="Arial" w:cs="Arial"/>
          <w:sz w:val="24"/>
          <w:szCs w:val="24"/>
        </w:rPr>
      </w:pPr>
    </w:p>
    <w:p w14:paraId="00DC7A2E" w14:textId="28F3F300" w:rsidR="00B4031F" w:rsidRPr="00B4031F" w:rsidRDefault="00B4031F" w:rsidP="00B4031F">
      <w:pPr>
        <w:spacing w:after="0"/>
        <w:rPr>
          <w:rFonts w:ascii="Arial" w:hAnsi="Arial" w:cs="Arial"/>
          <w:sz w:val="24"/>
          <w:szCs w:val="24"/>
        </w:rPr>
      </w:pPr>
      <w:r w:rsidRPr="00B4031F">
        <w:rPr>
          <w:rFonts w:ascii="Arial" w:hAnsi="Arial" w:cs="Arial"/>
          <w:sz w:val="24"/>
          <w:szCs w:val="24"/>
        </w:rPr>
        <w:t xml:space="preserve">Clauses 1 and 2 are formal. </w:t>
      </w:r>
      <w:r w:rsidR="00A73F1A">
        <w:rPr>
          <w:rFonts w:ascii="Arial" w:hAnsi="Arial" w:cs="Arial"/>
          <w:sz w:val="24"/>
          <w:szCs w:val="24"/>
        </w:rPr>
        <w:t xml:space="preserve"> </w:t>
      </w:r>
      <w:r w:rsidRPr="00B4031F">
        <w:rPr>
          <w:rFonts w:ascii="Arial" w:hAnsi="Arial" w:cs="Arial"/>
          <w:sz w:val="24"/>
          <w:szCs w:val="24"/>
        </w:rPr>
        <w:t xml:space="preserve">Clause 3 inserts a definition of “the Land and Valuation Court” in section 5 of the principal Act. </w:t>
      </w:r>
      <w:r w:rsidR="00A73F1A">
        <w:rPr>
          <w:rFonts w:ascii="Arial" w:hAnsi="Arial" w:cs="Arial"/>
          <w:sz w:val="24"/>
          <w:szCs w:val="24"/>
        </w:rPr>
        <w:t xml:space="preserve"> </w:t>
      </w:r>
      <w:r w:rsidRPr="00B4031F">
        <w:rPr>
          <w:rFonts w:ascii="Arial" w:hAnsi="Arial" w:cs="Arial"/>
          <w:sz w:val="24"/>
          <w:szCs w:val="24"/>
        </w:rPr>
        <w:t>Clause 4 amends section 31 of the principal Act. Under section 30 a person may appeal against an assessment in a water district on any of the grounds set out in that section.</w:t>
      </w:r>
      <w:r w:rsidR="00A73F1A">
        <w:rPr>
          <w:rFonts w:ascii="Arial" w:hAnsi="Arial" w:cs="Arial"/>
          <w:sz w:val="24"/>
          <w:szCs w:val="24"/>
        </w:rPr>
        <w:t xml:space="preserve"> </w:t>
      </w:r>
      <w:r w:rsidRPr="00B4031F">
        <w:rPr>
          <w:rFonts w:ascii="Arial" w:hAnsi="Arial" w:cs="Arial"/>
          <w:sz w:val="24"/>
          <w:szCs w:val="24"/>
        </w:rPr>
        <w:t xml:space="preserve"> Section 31 at present provides that such an appeal must be made to the local court of full jurisdiction nearest to the water district. This reference to the local court is struck out and a reference to the Land and Valuation Court is inserted in lieu thereof. </w:t>
      </w:r>
    </w:p>
    <w:p w14:paraId="2547D848" w14:textId="77777777" w:rsidR="00B4031F" w:rsidRPr="00B4031F" w:rsidRDefault="00B4031F" w:rsidP="00B4031F">
      <w:pPr>
        <w:spacing w:after="0"/>
        <w:rPr>
          <w:rFonts w:ascii="Arial" w:hAnsi="Arial" w:cs="Arial"/>
          <w:sz w:val="24"/>
          <w:szCs w:val="24"/>
        </w:rPr>
      </w:pPr>
    </w:p>
    <w:p w14:paraId="50410405" w14:textId="77777777" w:rsidR="00B4031F" w:rsidRPr="00B4031F" w:rsidRDefault="00B4031F" w:rsidP="00B4031F">
      <w:pPr>
        <w:spacing w:after="0"/>
        <w:rPr>
          <w:rFonts w:ascii="Arial" w:hAnsi="Arial" w:cs="Arial"/>
          <w:sz w:val="24"/>
          <w:szCs w:val="24"/>
        </w:rPr>
      </w:pPr>
      <w:r w:rsidRPr="00B4031F">
        <w:rPr>
          <w:rFonts w:ascii="Arial" w:hAnsi="Arial" w:cs="Arial"/>
          <w:sz w:val="24"/>
          <w:szCs w:val="24"/>
        </w:rPr>
        <w:t xml:space="preserve">Clause 5 repeals and re-enacts section 32 of the principal Act, which deals with the procedure upon an appeal, and it is re-enacted in an appropriate form as the appeal is to be made to the Supreme Court. </w:t>
      </w:r>
    </w:p>
    <w:p w14:paraId="69440C31" w14:textId="77777777" w:rsidR="00B4031F" w:rsidRPr="00B4031F" w:rsidRDefault="00B4031F" w:rsidP="00B4031F">
      <w:pPr>
        <w:spacing w:after="0"/>
        <w:rPr>
          <w:rFonts w:ascii="Arial" w:hAnsi="Arial" w:cs="Arial"/>
          <w:sz w:val="24"/>
          <w:szCs w:val="24"/>
        </w:rPr>
      </w:pPr>
    </w:p>
    <w:p w14:paraId="7294AA2F" w14:textId="654991EC" w:rsidR="00B4031F" w:rsidRPr="00B4031F" w:rsidRDefault="00B4031F" w:rsidP="00B4031F">
      <w:pPr>
        <w:spacing w:after="0"/>
        <w:rPr>
          <w:rFonts w:ascii="Arial" w:hAnsi="Arial" w:cs="Arial"/>
          <w:sz w:val="24"/>
          <w:szCs w:val="24"/>
        </w:rPr>
      </w:pPr>
      <w:r w:rsidRPr="00B4031F">
        <w:rPr>
          <w:rFonts w:ascii="Arial" w:hAnsi="Arial" w:cs="Arial"/>
          <w:sz w:val="24"/>
          <w:szCs w:val="24"/>
        </w:rPr>
        <w:t xml:space="preserve">Clause 6 amends section 33 of the principal Act. </w:t>
      </w:r>
      <w:r w:rsidR="00A73F1A">
        <w:rPr>
          <w:rFonts w:ascii="Arial" w:hAnsi="Arial" w:cs="Arial"/>
          <w:sz w:val="24"/>
          <w:szCs w:val="24"/>
        </w:rPr>
        <w:t xml:space="preserve"> </w:t>
      </w:r>
      <w:r w:rsidRPr="00B4031F">
        <w:rPr>
          <w:rFonts w:ascii="Arial" w:hAnsi="Arial" w:cs="Arial"/>
          <w:sz w:val="24"/>
          <w:szCs w:val="24"/>
        </w:rPr>
        <w:t>Here again, an appropriate amendment is made to the form of the section as jurisdiction is to be vested in the Land and Valuation Court.</w:t>
      </w:r>
      <w:r w:rsidR="00A73F1A">
        <w:rPr>
          <w:rFonts w:ascii="Arial" w:hAnsi="Arial" w:cs="Arial"/>
          <w:sz w:val="24"/>
          <w:szCs w:val="24"/>
        </w:rPr>
        <w:t xml:space="preserve"> </w:t>
      </w:r>
      <w:r w:rsidRPr="00B4031F">
        <w:rPr>
          <w:rFonts w:ascii="Arial" w:hAnsi="Arial" w:cs="Arial"/>
          <w:sz w:val="24"/>
          <w:szCs w:val="24"/>
        </w:rPr>
        <w:t xml:space="preserve"> The court is vested with power to make such orders as it thinks reasonable in the case, and orders for costs and other ancillary orders as it thinks just. Clause 7 repeals sections 34 and 35 of the principal Act which are not necessary as jurisdiction is now to be vested in the Land and Valuation Court. </w:t>
      </w:r>
    </w:p>
    <w:p w14:paraId="4C51CCFA" w14:textId="77777777" w:rsidR="00B4031F" w:rsidRPr="00B4031F" w:rsidRDefault="00B4031F" w:rsidP="00B4031F">
      <w:pPr>
        <w:spacing w:after="0"/>
        <w:rPr>
          <w:rFonts w:ascii="Arial" w:hAnsi="Arial" w:cs="Arial"/>
          <w:sz w:val="24"/>
          <w:szCs w:val="24"/>
        </w:rPr>
      </w:pPr>
    </w:p>
    <w:p w14:paraId="79316F0E" w14:textId="77777777" w:rsidR="002413F6" w:rsidRPr="00B4031F" w:rsidRDefault="00B4031F" w:rsidP="00B4031F">
      <w:pPr>
        <w:spacing w:after="0"/>
        <w:rPr>
          <w:rFonts w:ascii="Arial" w:hAnsi="Arial" w:cs="Arial"/>
          <w:sz w:val="24"/>
          <w:szCs w:val="24"/>
        </w:rPr>
      </w:pPr>
      <w:r w:rsidRPr="00B4031F">
        <w:rPr>
          <w:rFonts w:ascii="Arial" w:hAnsi="Arial" w:cs="Arial"/>
          <w:sz w:val="24"/>
          <w:szCs w:val="24"/>
        </w:rPr>
        <w:t>The Hon. S. C. BEVAN secured the adjournment of the debate.</w:t>
      </w:r>
    </w:p>
    <w:sectPr w:rsidR="002413F6" w:rsidRPr="00B4031F" w:rsidSect="00B4031F">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CCB0" w14:textId="77777777" w:rsidR="0004020C" w:rsidRDefault="0004020C" w:rsidP="00A73F1A">
      <w:pPr>
        <w:spacing w:after="0" w:line="240" w:lineRule="auto"/>
      </w:pPr>
      <w:r>
        <w:separator/>
      </w:r>
    </w:p>
  </w:endnote>
  <w:endnote w:type="continuationSeparator" w:id="0">
    <w:p w14:paraId="71C06907" w14:textId="77777777" w:rsidR="0004020C" w:rsidRDefault="0004020C" w:rsidP="00A7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9398" w14:textId="77777777" w:rsidR="00A73F1A" w:rsidRPr="00A73F1A" w:rsidRDefault="00A73F1A" w:rsidP="00A73F1A">
    <w:pPr>
      <w:pStyle w:val="Footer"/>
      <w:jc w:val="right"/>
      <w:rPr>
        <w:rFonts w:ascii="Arial" w:hAnsi="Arial" w:cs="Arial"/>
        <w:sz w:val="24"/>
        <w:szCs w:val="24"/>
        <w:lang w:val="en-US"/>
      </w:rPr>
    </w:pPr>
    <w:r w:rsidRPr="00A73F1A">
      <w:rPr>
        <w:rFonts w:ascii="Arial" w:hAnsi="Arial" w:cs="Arial"/>
        <w:color w:val="365F91" w:themeColor="accent1" w:themeShade="BF"/>
        <w:sz w:val="24"/>
        <w:szCs w:val="24"/>
        <w:lang w:val="en-US"/>
      </w:rPr>
      <w:t>History of Agriculture South Australia</w:t>
    </w:r>
  </w:p>
  <w:p w14:paraId="7FF549BB" w14:textId="77777777" w:rsidR="00A73F1A" w:rsidRDefault="00A7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519D" w14:textId="77777777" w:rsidR="0004020C" w:rsidRDefault="0004020C" w:rsidP="00A73F1A">
      <w:pPr>
        <w:spacing w:after="0" w:line="240" w:lineRule="auto"/>
      </w:pPr>
      <w:r>
        <w:separator/>
      </w:r>
    </w:p>
  </w:footnote>
  <w:footnote w:type="continuationSeparator" w:id="0">
    <w:p w14:paraId="06E3D0BE" w14:textId="77777777" w:rsidR="0004020C" w:rsidRDefault="0004020C" w:rsidP="00A73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1F"/>
    <w:rsid w:val="0004020C"/>
    <w:rsid w:val="002413F6"/>
    <w:rsid w:val="0061006D"/>
    <w:rsid w:val="00A73F1A"/>
    <w:rsid w:val="00B40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DF38"/>
  <w15:chartTrackingRefBased/>
  <w15:docId w15:val="{740921D1-ED4A-4C77-855D-401029CD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61006D"/>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A73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F1A"/>
  </w:style>
  <w:style w:type="paragraph" w:styleId="Footer">
    <w:name w:val="footer"/>
    <w:basedOn w:val="Normal"/>
    <w:link w:val="FooterChar"/>
    <w:uiPriority w:val="99"/>
    <w:unhideWhenUsed/>
    <w:rsid w:val="00A73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2023-06-05T09:01:00Z</dcterms:created>
  <dcterms:modified xsi:type="dcterms:W3CDTF">2023-06-14T05:42:00Z</dcterms:modified>
</cp:coreProperties>
</file>