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CBD1" w14:textId="77777777" w:rsidR="001C6D3F" w:rsidRPr="002546D7" w:rsidRDefault="001C6D3F" w:rsidP="001C6D3F">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2546D7">
        <w:rPr>
          <w:rStyle w:val="Bodytext1715pt"/>
          <w:rFonts w:ascii="Arial" w:eastAsia="Arial Unicode MS" w:hAnsi="Arial" w:cs="Arial"/>
          <w:i w:val="0"/>
          <w:iCs w:val="0"/>
          <w:color w:val="00439E"/>
          <w:spacing w:val="1"/>
          <w:sz w:val="32"/>
          <w:szCs w:val="32"/>
          <w:shd w:val="clear" w:color="auto" w:fill="auto"/>
          <w:lang w:val="en-AU" w:eastAsia="en-AU"/>
        </w:rPr>
        <w:t>SEED WHEAT BILL 1897</w:t>
      </w:r>
    </w:p>
    <w:p w14:paraId="27FEC9CC" w14:textId="77777777" w:rsidR="001C6D3F" w:rsidRDefault="001C6D3F" w:rsidP="001C6D3F">
      <w:pPr>
        <w:widowControl w:val="0"/>
        <w:spacing w:after="0"/>
        <w:rPr>
          <w:rFonts w:ascii="Arial" w:eastAsia="Century Schoolbook" w:hAnsi="Arial" w:cs="Arial"/>
          <w:sz w:val="24"/>
          <w:szCs w:val="24"/>
          <w:lang w:val="en-US"/>
        </w:rPr>
      </w:pPr>
    </w:p>
    <w:p w14:paraId="74906BC7" w14:textId="14B786D3" w:rsidR="001C6D3F" w:rsidRPr="002546D7" w:rsidRDefault="001C6D3F" w:rsidP="001C6D3F">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2546D7">
        <w:rPr>
          <w:rStyle w:val="Bodytext1715pt"/>
          <w:rFonts w:ascii="Arial" w:eastAsia="Arial Unicode MS" w:hAnsi="Arial" w:cs="Arial"/>
          <w:i w:val="0"/>
          <w:iCs w:val="0"/>
          <w:color w:val="00439E"/>
          <w:spacing w:val="1"/>
          <w:sz w:val="28"/>
          <w:szCs w:val="28"/>
          <w:shd w:val="clear" w:color="auto" w:fill="auto"/>
          <w:lang w:val="en-AU" w:eastAsia="en-AU"/>
        </w:rPr>
        <w:t>L</w:t>
      </w:r>
      <w:r w:rsidR="00B50407">
        <w:rPr>
          <w:rStyle w:val="Bodytext1715pt"/>
          <w:rFonts w:ascii="Arial" w:eastAsia="Arial Unicode MS" w:hAnsi="Arial" w:cs="Arial"/>
          <w:i w:val="0"/>
          <w:iCs w:val="0"/>
          <w:color w:val="00439E"/>
          <w:spacing w:val="1"/>
          <w:sz w:val="28"/>
          <w:szCs w:val="28"/>
          <w:shd w:val="clear" w:color="auto" w:fill="auto"/>
          <w:lang w:val="en-AU" w:eastAsia="en-AU"/>
        </w:rPr>
        <w:t>egislative</w:t>
      </w:r>
      <w:r w:rsidRPr="002546D7">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B50407">
        <w:rPr>
          <w:rStyle w:val="Bodytext1715pt"/>
          <w:rFonts w:ascii="Arial" w:eastAsia="Arial Unicode MS" w:hAnsi="Arial" w:cs="Arial"/>
          <w:i w:val="0"/>
          <w:iCs w:val="0"/>
          <w:color w:val="00439E"/>
          <w:spacing w:val="1"/>
          <w:sz w:val="28"/>
          <w:szCs w:val="28"/>
          <w:shd w:val="clear" w:color="auto" w:fill="auto"/>
          <w:lang w:val="en-AU" w:eastAsia="en-AU"/>
        </w:rPr>
        <w:t>ouncil</w:t>
      </w:r>
      <w:r w:rsidRPr="002546D7">
        <w:rPr>
          <w:rStyle w:val="Bodytext1715pt"/>
          <w:rFonts w:ascii="Arial" w:eastAsia="Arial Unicode MS" w:hAnsi="Arial" w:cs="Arial"/>
          <w:i w:val="0"/>
          <w:iCs w:val="0"/>
          <w:color w:val="00439E"/>
          <w:spacing w:val="1"/>
          <w:sz w:val="28"/>
          <w:szCs w:val="28"/>
          <w:shd w:val="clear" w:color="auto" w:fill="auto"/>
          <w:lang w:val="en-AU" w:eastAsia="en-AU"/>
        </w:rPr>
        <w:t>, 10 D</w:t>
      </w:r>
      <w:r w:rsidR="00B50407">
        <w:rPr>
          <w:rStyle w:val="Bodytext1715pt"/>
          <w:rFonts w:ascii="Arial" w:eastAsia="Arial Unicode MS" w:hAnsi="Arial" w:cs="Arial"/>
          <w:i w:val="0"/>
          <w:iCs w:val="0"/>
          <w:color w:val="00439E"/>
          <w:spacing w:val="1"/>
          <w:sz w:val="28"/>
          <w:szCs w:val="28"/>
          <w:shd w:val="clear" w:color="auto" w:fill="auto"/>
          <w:lang w:val="en-AU" w:eastAsia="en-AU"/>
        </w:rPr>
        <w:t>ecember</w:t>
      </w:r>
      <w:r w:rsidRPr="002546D7">
        <w:rPr>
          <w:rStyle w:val="Bodytext1715pt"/>
          <w:rFonts w:ascii="Arial" w:eastAsia="Arial Unicode MS" w:hAnsi="Arial" w:cs="Arial"/>
          <w:i w:val="0"/>
          <w:iCs w:val="0"/>
          <w:color w:val="00439E"/>
          <w:spacing w:val="1"/>
          <w:sz w:val="28"/>
          <w:szCs w:val="28"/>
          <w:shd w:val="clear" w:color="auto" w:fill="auto"/>
          <w:lang w:val="en-AU" w:eastAsia="en-AU"/>
        </w:rPr>
        <w:t xml:space="preserve"> 1897, </w:t>
      </w:r>
      <w:r w:rsidR="00B50407">
        <w:rPr>
          <w:rStyle w:val="Bodytext1715pt"/>
          <w:rFonts w:ascii="Arial" w:eastAsia="Arial Unicode MS" w:hAnsi="Arial" w:cs="Arial"/>
          <w:i w:val="0"/>
          <w:iCs w:val="0"/>
          <w:color w:val="00439E"/>
          <w:spacing w:val="1"/>
          <w:sz w:val="28"/>
          <w:szCs w:val="28"/>
          <w:shd w:val="clear" w:color="auto" w:fill="auto"/>
          <w:lang w:val="en-AU" w:eastAsia="en-AU"/>
        </w:rPr>
        <w:t>page</w:t>
      </w:r>
      <w:r w:rsidRPr="002546D7">
        <w:rPr>
          <w:rStyle w:val="Bodytext1715pt"/>
          <w:rFonts w:ascii="Arial" w:eastAsia="Arial Unicode MS" w:hAnsi="Arial" w:cs="Arial"/>
          <w:i w:val="0"/>
          <w:iCs w:val="0"/>
          <w:color w:val="00439E"/>
          <w:spacing w:val="1"/>
          <w:sz w:val="28"/>
          <w:szCs w:val="28"/>
          <w:shd w:val="clear" w:color="auto" w:fill="auto"/>
          <w:lang w:val="en-AU" w:eastAsia="en-AU"/>
        </w:rPr>
        <w:t xml:space="preserve"> 394</w:t>
      </w:r>
    </w:p>
    <w:p w14:paraId="638394DF" w14:textId="77777777" w:rsidR="001C6D3F" w:rsidRDefault="001C6D3F" w:rsidP="001C6D3F">
      <w:pPr>
        <w:widowControl w:val="0"/>
        <w:spacing w:after="0"/>
        <w:ind w:left="20" w:right="20"/>
        <w:rPr>
          <w:rFonts w:ascii="Arial" w:eastAsia="Century Schoolbook" w:hAnsi="Arial" w:cs="Arial"/>
          <w:sz w:val="24"/>
          <w:szCs w:val="24"/>
          <w:lang w:val="en-US"/>
        </w:rPr>
      </w:pPr>
    </w:p>
    <w:p w14:paraId="49F31849" w14:textId="4D0FA49F" w:rsidR="001C6D3F" w:rsidRPr="00B50407" w:rsidRDefault="001C6D3F" w:rsidP="001C6D3F">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B50407">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B50407" w:rsidRPr="00B50407">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B50407">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0DF78A3B" w14:textId="77777777" w:rsidR="001C6D3F" w:rsidRDefault="001C6D3F" w:rsidP="001C6D3F">
      <w:pPr>
        <w:widowControl w:val="0"/>
        <w:spacing w:after="0"/>
        <w:ind w:left="20" w:right="20"/>
        <w:rPr>
          <w:rFonts w:ascii="Arial" w:eastAsia="Century Schoolbook" w:hAnsi="Arial" w:cs="Arial"/>
          <w:sz w:val="24"/>
          <w:szCs w:val="24"/>
          <w:lang w:val="en-US"/>
        </w:rPr>
      </w:pPr>
    </w:p>
    <w:p w14:paraId="6C7EA783" w14:textId="77777777" w:rsidR="001C6D3F" w:rsidRDefault="001C6D3F" w:rsidP="001C6D3F">
      <w:pPr>
        <w:widowControl w:val="0"/>
        <w:spacing w:after="0"/>
        <w:rPr>
          <w:rFonts w:ascii="Arial" w:eastAsia="Century Schoolbook" w:hAnsi="Arial" w:cs="Arial"/>
          <w:sz w:val="24"/>
          <w:szCs w:val="24"/>
          <w:lang w:val="en-US"/>
        </w:rPr>
      </w:pPr>
      <w:r w:rsidRPr="00B50407">
        <w:rPr>
          <w:rFonts w:ascii="Arial" w:eastAsia="Century Schoolbook" w:hAnsi="Arial" w:cs="Arial"/>
          <w:b/>
          <w:bCs/>
          <w:sz w:val="24"/>
          <w:szCs w:val="24"/>
          <w:lang w:val="en-US"/>
        </w:rPr>
        <w:t>The CHIEF SECRETARY</w:t>
      </w:r>
      <w:r w:rsidRPr="00A03B46">
        <w:rPr>
          <w:rFonts w:ascii="Arial" w:eastAsia="Century Schoolbook" w:hAnsi="Arial" w:cs="Arial"/>
          <w:sz w:val="24"/>
          <w:szCs w:val="24"/>
          <w:lang w:val="en-US"/>
        </w:rPr>
        <w:t xml:space="preserve"> said he would only formally move the second reading of the Bill and reserve further remarks for his reply. It was to continue the Act of last year and was of the same nature. Clause 2 provided </w:t>
      </w:r>
      <w:proofErr w:type="gramStart"/>
      <w:r w:rsidRPr="00A03B46">
        <w:rPr>
          <w:rFonts w:ascii="Arial" w:eastAsia="Century Schoolbook" w:hAnsi="Arial" w:cs="Arial"/>
          <w:sz w:val="24"/>
          <w:szCs w:val="24"/>
          <w:lang w:val="en-US"/>
        </w:rPr>
        <w:t>that:—</w:t>
      </w:r>
      <w:proofErr w:type="gramEnd"/>
      <w:r w:rsidRPr="00A03B46">
        <w:rPr>
          <w:rFonts w:ascii="Arial" w:eastAsia="Century Schoolbook" w:hAnsi="Arial" w:cs="Arial"/>
          <w:sz w:val="24"/>
          <w:szCs w:val="24"/>
          <w:lang w:val="en-US"/>
        </w:rPr>
        <w:t>“Seed wheat may be supplied to farmers for sowing during the year 1898. and all the provisions of the principal Act shall apply as if such seed wheat had been supplied for sowing during the year 1897, except that the seed shall be sown during the year 1898; and the dates for computation of interest and payment of principal and interest shall be one year later than the dates mentioned in the principal Act,” so that tho</w:t>
      </w:r>
      <w:r>
        <w:rPr>
          <w:rFonts w:ascii="Arial" w:eastAsia="Century Schoolbook" w:hAnsi="Arial" w:cs="Arial"/>
          <w:sz w:val="24"/>
          <w:szCs w:val="24"/>
          <w:lang w:val="en-US"/>
        </w:rPr>
        <w:t>s</w:t>
      </w:r>
      <w:r w:rsidRPr="00A03B46">
        <w:rPr>
          <w:rFonts w:ascii="Arial" w:eastAsia="Century Schoolbook" w:hAnsi="Arial" w:cs="Arial"/>
          <w:sz w:val="24"/>
          <w:szCs w:val="24"/>
          <w:lang w:val="en-US"/>
        </w:rPr>
        <w:t>e who required seed wheat to enable them to put in a crop would be able to procure it, and those who were not in a position to repay the advances they had received would be given</w:t>
      </w:r>
      <w:r>
        <w:rPr>
          <w:rFonts w:ascii="Arial" w:eastAsia="Century Schoolbook" w:hAnsi="Arial" w:cs="Arial"/>
          <w:sz w:val="24"/>
          <w:szCs w:val="24"/>
          <w:lang w:val="en-US"/>
        </w:rPr>
        <w:t xml:space="preserve"> </w:t>
      </w:r>
      <w:r w:rsidRPr="00A03B46">
        <w:rPr>
          <w:rFonts w:ascii="Arial" w:eastAsia="Century Schoolbook" w:hAnsi="Arial" w:cs="Arial"/>
          <w:sz w:val="24"/>
          <w:szCs w:val="24"/>
          <w:lang w:val="en-US"/>
        </w:rPr>
        <w:t>a year’s grace.</w:t>
      </w:r>
    </w:p>
    <w:p w14:paraId="51ED41A1" w14:textId="77777777" w:rsidR="001C6D3F" w:rsidRPr="00A03B46" w:rsidRDefault="001C6D3F" w:rsidP="001C6D3F">
      <w:pPr>
        <w:widowControl w:val="0"/>
        <w:spacing w:after="0"/>
        <w:rPr>
          <w:rFonts w:ascii="Arial" w:eastAsia="Century Schoolbook" w:hAnsi="Arial" w:cs="Arial"/>
          <w:sz w:val="24"/>
          <w:szCs w:val="24"/>
          <w:lang w:val="en-US"/>
        </w:rPr>
      </w:pPr>
    </w:p>
    <w:p w14:paraId="15FB8CD7" w14:textId="485F83D2" w:rsidR="001C6D3F" w:rsidRDefault="001C6D3F" w:rsidP="001C6D3F">
      <w:pPr>
        <w:widowControl w:val="0"/>
        <w:spacing w:after="0"/>
        <w:ind w:left="20" w:right="20"/>
        <w:rPr>
          <w:rFonts w:ascii="Arial" w:eastAsia="Century Schoolbook" w:hAnsi="Arial" w:cs="Arial"/>
          <w:sz w:val="24"/>
          <w:szCs w:val="24"/>
          <w:lang w:val="en-US"/>
        </w:rPr>
      </w:pPr>
      <w:r w:rsidRPr="00A03B46">
        <w:rPr>
          <w:rFonts w:ascii="Arial" w:eastAsia="Century Schoolbook" w:hAnsi="Arial" w:cs="Arial"/>
          <w:sz w:val="24"/>
          <w:szCs w:val="24"/>
          <w:lang w:val="en-US"/>
        </w:rPr>
        <w:t xml:space="preserve">The Hon. G. </w:t>
      </w:r>
      <w:proofErr w:type="spellStart"/>
      <w:r w:rsidRPr="00A03B46">
        <w:rPr>
          <w:rFonts w:ascii="Arial" w:eastAsia="Century Schoolbook" w:hAnsi="Arial" w:cs="Arial"/>
          <w:sz w:val="24"/>
          <w:szCs w:val="24"/>
          <w:lang w:val="en-US"/>
        </w:rPr>
        <w:t>McGREGOR</w:t>
      </w:r>
      <w:proofErr w:type="spellEnd"/>
      <w:r w:rsidRPr="00A03B46">
        <w:rPr>
          <w:rFonts w:ascii="Arial" w:eastAsia="Century Schoolbook" w:hAnsi="Arial" w:cs="Arial"/>
          <w:sz w:val="24"/>
          <w:szCs w:val="24"/>
          <w:lang w:val="en-US"/>
        </w:rPr>
        <w:t xml:space="preserve"> said that provision should be made so that those who defrauded the district councils by obtaining wheat and then not putting it to the use for</w:t>
      </w:r>
      <w:r>
        <w:rPr>
          <w:rFonts w:ascii="Arial" w:eastAsia="Century Schoolbook" w:hAnsi="Arial" w:cs="Arial"/>
          <w:sz w:val="24"/>
          <w:szCs w:val="24"/>
          <w:lang w:val="en-US"/>
        </w:rPr>
        <w:t xml:space="preserve"> </w:t>
      </w:r>
      <w:r w:rsidRPr="00A03B46">
        <w:rPr>
          <w:rFonts w:ascii="Arial" w:eastAsia="Century Schoolbook" w:hAnsi="Arial" w:cs="Arial"/>
          <w:sz w:val="24"/>
          <w:szCs w:val="24"/>
          <w:lang w:val="en-US"/>
        </w:rPr>
        <w:t xml:space="preserve">which it was intended could be </w:t>
      </w:r>
      <w:r>
        <w:rPr>
          <w:rFonts w:ascii="Arial" w:eastAsia="Century Schoolbook" w:hAnsi="Arial" w:cs="Arial"/>
          <w:sz w:val="24"/>
          <w:szCs w:val="24"/>
          <w:lang w:val="en-US"/>
        </w:rPr>
        <w:t>punished</w:t>
      </w:r>
      <w:r w:rsidRPr="00A03B46">
        <w:rPr>
          <w:rFonts w:ascii="Arial" w:eastAsia="Century Schoolbook" w:hAnsi="Arial" w:cs="Arial"/>
          <w:sz w:val="24"/>
          <w:szCs w:val="24"/>
          <w:lang w:val="en-US"/>
        </w:rPr>
        <w:t xml:space="preserve"> (The Chief Secretary</w:t>
      </w:r>
      <w:proofErr w:type="gramStart"/>
      <w:r w:rsidRPr="00A03B46">
        <w:rPr>
          <w:rFonts w:ascii="Arial" w:eastAsia="Century Schoolbook" w:hAnsi="Arial" w:cs="Arial"/>
          <w:sz w:val="24"/>
          <w:szCs w:val="24"/>
          <w:lang w:val="en-US"/>
        </w:rPr>
        <w:t>—“</w:t>
      </w:r>
      <w:proofErr w:type="gramEnd"/>
      <w:r w:rsidRPr="00A03B46">
        <w:rPr>
          <w:rFonts w:ascii="Arial" w:eastAsia="Century Schoolbook" w:hAnsi="Arial" w:cs="Arial"/>
          <w:sz w:val="24"/>
          <w:szCs w:val="24"/>
          <w:lang w:val="en-US"/>
        </w:rPr>
        <w:t>That is provided in clause 4.”</w:t>
      </w:r>
      <w:r>
        <w:rPr>
          <w:rFonts w:ascii="Arial" w:eastAsia="Century Schoolbook" w:hAnsi="Arial" w:cs="Arial"/>
          <w:sz w:val="24"/>
          <w:szCs w:val="24"/>
          <w:lang w:val="en-US"/>
        </w:rPr>
        <w:t>)</w:t>
      </w:r>
    </w:p>
    <w:p w14:paraId="6E56D54A" w14:textId="77777777" w:rsidR="001C6D3F" w:rsidRDefault="001C6D3F" w:rsidP="001C6D3F">
      <w:pPr>
        <w:widowControl w:val="0"/>
        <w:tabs>
          <w:tab w:val="left" w:pos="2818"/>
        </w:tabs>
        <w:spacing w:after="0"/>
        <w:ind w:right="60"/>
        <w:rPr>
          <w:rFonts w:ascii="Arial" w:eastAsia="Century Schoolbook" w:hAnsi="Arial" w:cs="Arial"/>
          <w:sz w:val="24"/>
          <w:szCs w:val="24"/>
          <w:lang w:val="en-US"/>
        </w:rPr>
      </w:pPr>
    </w:p>
    <w:p w14:paraId="14417923" w14:textId="77777777" w:rsidR="001C6D3F" w:rsidRDefault="001C6D3F" w:rsidP="001C6D3F">
      <w:pPr>
        <w:widowControl w:val="0"/>
        <w:tabs>
          <w:tab w:val="left" w:pos="2818"/>
        </w:tabs>
        <w:spacing w:after="0"/>
        <w:ind w:right="60"/>
        <w:rPr>
          <w:rFonts w:ascii="Arial" w:eastAsia="Century Schoolbook" w:hAnsi="Arial" w:cs="Arial"/>
          <w:sz w:val="24"/>
          <w:szCs w:val="24"/>
          <w:lang w:val="en-US"/>
        </w:rPr>
      </w:pPr>
      <w:r w:rsidRPr="00A03B46">
        <w:rPr>
          <w:rFonts w:ascii="Arial" w:eastAsia="Century Schoolbook" w:hAnsi="Arial" w:cs="Arial"/>
          <w:sz w:val="24"/>
          <w:szCs w:val="24"/>
          <w:lang w:val="en-US"/>
        </w:rPr>
        <w:t xml:space="preserve">On the motion of the Hon. </w:t>
      </w:r>
      <w:r>
        <w:rPr>
          <w:rFonts w:ascii="Arial" w:eastAsia="Century Schoolbook" w:hAnsi="Arial" w:cs="Arial"/>
          <w:sz w:val="24"/>
          <w:szCs w:val="24"/>
          <w:lang w:val="en-US"/>
        </w:rPr>
        <w:t>J L.</w:t>
      </w:r>
      <w:r w:rsidRPr="00A03B46">
        <w:rPr>
          <w:rFonts w:ascii="Arial" w:eastAsia="Century Schoolbook" w:hAnsi="Arial" w:cs="Arial"/>
          <w:sz w:val="24"/>
          <w:szCs w:val="24"/>
          <w:lang w:val="en-US"/>
        </w:rPr>
        <w:t xml:space="preserve"> STIRLING the debate was adjourned </w:t>
      </w:r>
      <w:r>
        <w:rPr>
          <w:rFonts w:ascii="Arial" w:eastAsia="Century Schoolbook" w:hAnsi="Arial" w:cs="Arial"/>
          <w:sz w:val="24"/>
          <w:szCs w:val="24"/>
          <w:lang w:val="en-US"/>
        </w:rPr>
        <w:t>till the</w:t>
      </w:r>
      <w:r w:rsidRPr="00A03B46">
        <w:rPr>
          <w:rFonts w:ascii="Arial" w:eastAsia="Century Schoolbook" w:hAnsi="Arial" w:cs="Arial"/>
          <w:sz w:val="24"/>
          <w:szCs w:val="24"/>
          <w:lang w:val="en-US"/>
        </w:rPr>
        <w:t xml:space="preserve"> next day.</w:t>
      </w:r>
    </w:p>
    <w:p w14:paraId="2ED0F3EE" w14:textId="77777777" w:rsidR="001C6D3F" w:rsidRDefault="001C6D3F" w:rsidP="001C6D3F">
      <w:pPr>
        <w:widowControl w:val="0"/>
        <w:tabs>
          <w:tab w:val="left" w:pos="2818"/>
        </w:tabs>
        <w:spacing w:after="0"/>
        <w:ind w:right="60"/>
        <w:rPr>
          <w:rFonts w:ascii="Arial" w:eastAsia="Century Schoolbook" w:hAnsi="Arial" w:cs="Arial"/>
          <w:sz w:val="24"/>
          <w:szCs w:val="24"/>
          <w:lang w:val="en-US"/>
        </w:rPr>
      </w:pPr>
    </w:p>
    <w:p w14:paraId="212ABE7D" w14:textId="77777777" w:rsidR="001C6D3F" w:rsidRDefault="001C6D3F" w:rsidP="001C6D3F">
      <w:pPr>
        <w:rPr>
          <w:rFonts w:ascii="Arial" w:hAnsi="Arial" w:cs="Arial"/>
          <w:sz w:val="24"/>
          <w:szCs w:val="24"/>
        </w:rPr>
      </w:pPr>
    </w:p>
    <w:p w14:paraId="6D15C6DF" w14:textId="77777777" w:rsidR="002413F6" w:rsidRDefault="002413F6"/>
    <w:sectPr w:rsidR="002413F6" w:rsidSect="001C6D3F">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93C6" w14:textId="77777777" w:rsidR="00973547" w:rsidRDefault="00973547" w:rsidP="00B50407">
      <w:pPr>
        <w:spacing w:after="0" w:line="240" w:lineRule="auto"/>
      </w:pPr>
      <w:r>
        <w:separator/>
      </w:r>
    </w:p>
  </w:endnote>
  <w:endnote w:type="continuationSeparator" w:id="0">
    <w:p w14:paraId="24DCBC2A" w14:textId="77777777" w:rsidR="00973547" w:rsidRDefault="00973547" w:rsidP="00B5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CA6A" w14:textId="77777777" w:rsidR="00B50407" w:rsidRPr="00B50407" w:rsidRDefault="00B50407" w:rsidP="00B50407">
    <w:pPr>
      <w:tabs>
        <w:tab w:val="center" w:pos="4513"/>
        <w:tab w:val="right" w:pos="9026"/>
      </w:tabs>
      <w:spacing w:after="0" w:line="240" w:lineRule="auto"/>
      <w:jc w:val="right"/>
      <w:rPr>
        <w:rFonts w:ascii="Arial Unicode MS" w:eastAsia="Arial Unicode MS" w:hAnsi="Arial Unicode MS" w:cs="Arial Unicode MS"/>
        <w:color w:val="548DD4" w:themeColor="text2" w:themeTint="99"/>
        <w:kern w:val="0"/>
        <w:sz w:val="24"/>
        <w:szCs w:val="24"/>
        <w:lang w:val="en-US"/>
        <w14:ligatures w14:val="none"/>
      </w:rPr>
    </w:pPr>
    <w:r w:rsidRPr="00B50407">
      <w:rPr>
        <w:rFonts w:ascii="Arial Unicode MS" w:eastAsia="Arial Unicode MS" w:hAnsi="Arial Unicode MS" w:cs="Arial Unicode MS" w:hint="eastAsia"/>
        <w:noProof/>
        <w:color w:val="548DD4" w:themeColor="text2" w:themeTint="99"/>
        <w:kern w:val="0"/>
        <w:sz w:val="24"/>
        <w:szCs w:val="24"/>
        <w:lang w:val="en-US"/>
        <w14:ligatures w14:val="none"/>
      </w:rPr>
      <w:t>History of Agriculture South Australia</w:t>
    </w:r>
  </w:p>
  <w:p w14:paraId="7CE8D1A2" w14:textId="77777777" w:rsidR="00B50407" w:rsidRDefault="00B5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5FC08" w14:textId="77777777" w:rsidR="00973547" w:rsidRDefault="00973547" w:rsidP="00B50407">
      <w:pPr>
        <w:spacing w:after="0" w:line="240" w:lineRule="auto"/>
      </w:pPr>
      <w:r>
        <w:separator/>
      </w:r>
    </w:p>
  </w:footnote>
  <w:footnote w:type="continuationSeparator" w:id="0">
    <w:p w14:paraId="12E6D06F" w14:textId="77777777" w:rsidR="00973547" w:rsidRDefault="00973547" w:rsidP="00B504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3F"/>
    <w:rsid w:val="00046493"/>
    <w:rsid w:val="0011081F"/>
    <w:rsid w:val="001C6D3F"/>
    <w:rsid w:val="002413F6"/>
    <w:rsid w:val="00287356"/>
    <w:rsid w:val="003D6C7A"/>
    <w:rsid w:val="004A5D8B"/>
    <w:rsid w:val="00703222"/>
    <w:rsid w:val="00973547"/>
    <w:rsid w:val="00B50407"/>
    <w:rsid w:val="00E535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4519"/>
  <w15:chartTrackingRefBased/>
  <w15:docId w15:val="{7852F5E7-33B9-4F77-AF75-C357676B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D3F"/>
  </w:style>
  <w:style w:type="paragraph" w:styleId="Heading1">
    <w:name w:val="heading 1"/>
    <w:basedOn w:val="Normal"/>
    <w:next w:val="Normal"/>
    <w:link w:val="Heading1Char"/>
    <w:uiPriority w:val="9"/>
    <w:qFormat/>
    <w:rsid w:val="001C6D3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6D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6D3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6D3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6D3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6D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D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D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D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D3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6D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6D3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6D3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6D3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6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D3F"/>
    <w:rPr>
      <w:rFonts w:eastAsiaTheme="majorEastAsia" w:cstheme="majorBidi"/>
      <w:color w:val="272727" w:themeColor="text1" w:themeTint="D8"/>
    </w:rPr>
  </w:style>
  <w:style w:type="paragraph" w:styleId="Title">
    <w:name w:val="Title"/>
    <w:basedOn w:val="Normal"/>
    <w:next w:val="Normal"/>
    <w:link w:val="TitleChar"/>
    <w:uiPriority w:val="10"/>
    <w:qFormat/>
    <w:rsid w:val="001C6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D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D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D3F"/>
    <w:rPr>
      <w:i/>
      <w:iCs/>
      <w:color w:val="404040" w:themeColor="text1" w:themeTint="BF"/>
    </w:rPr>
  </w:style>
  <w:style w:type="paragraph" w:styleId="ListParagraph">
    <w:name w:val="List Paragraph"/>
    <w:basedOn w:val="Normal"/>
    <w:uiPriority w:val="34"/>
    <w:qFormat/>
    <w:rsid w:val="001C6D3F"/>
    <w:pPr>
      <w:ind w:left="720"/>
      <w:contextualSpacing/>
    </w:pPr>
  </w:style>
  <w:style w:type="character" w:styleId="IntenseEmphasis">
    <w:name w:val="Intense Emphasis"/>
    <w:basedOn w:val="DefaultParagraphFont"/>
    <w:uiPriority w:val="21"/>
    <w:qFormat/>
    <w:rsid w:val="001C6D3F"/>
    <w:rPr>
      <w:i/>
      <w:iCs/>
      <w:color w:val="365F91" w:themeColor="accent1" w:themeShade="BF"/>
    </w:rPr>
  </w:style>
  <w:style w:type="paragraph" w:styleId="IntenseQuote">
    <w:name w:val="Intense Quote"/>
    <w:basedOn w:val="Normal"/>
    <w:next w:val="Normal"/>
    <w:link w:val="IntenseQuoteChar"/>
    <w:uiPriority w:val="30"/>
    <w:qFormat/>
    <w:rsid w:val="001C6D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6D3F"/>
    <w:rPr>
      <w:i/>
      <w:iCs/>
      <w:color w:val="365F91" w:themeColor="accent1" w:themeShade="BF"/>
    </w:rPr>
  </w:style>
  <w:style w:type="character" w:styleId="IntenseReference">
    <w:name w:val="Intense Reference"/>
    <w:basedOn w:val="DefaultParagraphFont"/>
    <w:uiPriority w:val="32"/>
    <w:qFormat/>
    <w:rsid w:val="001C6D3F"/>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1C6D3F"/>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B50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407"/>
  </w:style>
  <w:style w:type="paragraph" w:styleId="Footer">
    <w:name w:val="footer"/>
    <w:basedOn w:val="Normal"/>
    <w:link w:val="FooterChar"/>
    <w:uiPriority w:val="99"/>
    <w:unhideWhenUsed/>
    <w:rsid w:val="00B50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2025-11-20T10:27:00Z</dcterms:created>
  <dcterms:modified xsi:type="dcterms:W3CDTF">2025-11-27T23:16:00Z</dcterms:modified>
</cp:coreProperties>
</file>