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AAAA" w14:textId="77777777" w:rsidR="00BF2658" w:rsidRPr="003B123B" w:rsidRDefault="00790B9E" w:rsidP="003B123B">
      <w:pPr>
        <w:pStyle w:val="Title"/>
      </w:pPr>
      <w:r>
        <w:t xml:space="preserve">Marine Scalefish Fishery Reform – </w:t>
      </w:r>
      <w:r w:rsidR="00004F80">
        <w:t>Stage</w:t>
      </w:r>
      <w:r>
        <w:t xml:space="preserve"> 1 </w:t>
      </w:r>
      <w:r w:rsidR="00E001A0">
        <w:t>information</w:t>
      </w:r>
    </w:p>
    <w:p w14:paraId="67201239" w14:textId="77777777" w:rsidR="00F62F9A" w:rsidRPr="00DF4944" w:rsidRDefault="00790B9E" w:rsidP="00DF4944">
      <w:pPr>
        <w:pStyle w:val="Division"/>
        <w:rPr>
          <w:sz w:val="36"/>
          <w:szCs w:val="36"/>
        </w:rPr>
      </w:pPr>
      <w:r>
        <w:rPr>
          <w:sz w:val="36"/>
          <w:szCs w:val="36"/>
        </w:rPr>
        <w:t>June 2020</w:t>
      </w:r>
    </w:p>
    <w:p w14:paraId="54680613" w14:textId="77777777" w:rsidR="0047520C" w:rsidRDefault="0047520C">
      <w:pPr>
        <w:spacing w:line="240" w:lineRule="auto"/>
      </w:pPr>
      <w:r>
        <w:br w:type="page"/>
      </w:r>
    </w:p>
    <w:p w14:paraId="35BDD9ED" w14:textId="77777777" w:rsidR="0042473A" w:rsidRPr="0042473A" w:rsidRDefault="0042473A" w:rsidP="0042473A">
      <w:pPr>
        <w:rPr>
          <w:rFonts w:cs="Times New Roman (Body CS)"/>
          <w:sz w:val="40"/>
          <w:szCs w:val="40"/>
        </w:rPr>
        <w:sectPr w:rsidR="0042473A" w:rsidRPr="0042473A" w:rsidSect="00CA23CD">
          <w:footerReference w:type="default" r:id="rId12"/>
          <w:headerReference w:type="first" r:id="rId13"/>
          <w:footerReference w:type="first" r:id="rId14"/>
          <w:pgSz w:w="11900" w:h="16840"/>
          <w:pgMar w:top="851" w:right="851" w:bottom="1474" w:left="851" w:header="289" w:footer="454" w:gutter="0"/>
          <w:cols w:space="708"/>
          <w:titlePg/>
          <w:docGrid w:linePitch="360"/>
        </w:sectPr>
      </w:pPr>
    </w:p>
    <w:p w14:paraId="4F5E1677" w14:textId="77777777" w:rsidR="008940C0" w:rsidRDefault="008940C0" w:rsidP="008940C0">
      <w:pPr>
        <w:sectPr w:rsidR="008940C0" w:rsidSect="00CA23CD">
          <w:headerReference w:type="first" r:id="rId15"/>
          <w:footerReference w:type="first" r:id="rId16"/>
          <w:pgSz w:w="11900" w:h="16840"/>
          <w:pgMar w:top="851" w:right="851" w:bottom="1474" w:left="851" w:header="289" w:footer="454" w:gutter="0"/>
          <w:cols w:space="708"/>
          <w:titlePg/>
          <w:docGrid w:linePitch="360"/>
        </w:sectPr>
      </w:pPr>
    </w:p>
    <w:p w14:paraId="6790A400" w14:textId="77777777" w:rsidR="000B4C5F" w:rsidRPr="008940C0" w:rsidRDefault="000B4C5F" w:rsidP="008940C0">
      <w:pPr>
        <w:spacing w:after="480" w:line="520" w:lineRule="exact"/>
      </w:pPr>
      <w:r w:rsidRPr="000D0F86">
        <w:rPr>
          <w:rFonts w:cs="Times New Roman (Body CS)"/>
          <w:b/>
          <w:bCs/>
          <w:color w:val="00427A"/>
          <w:sz w:val="40"/>
          <w:szCs w:val="40"/>
        </w:rPr>
        <w:t>Contents</w:t>
      </w:r>
    </w:p>
    <w:p w14:paraId="32F08CDC" w14:textId="77777777" w:rsidR="0039156D" w:rsidRDefault="00E46F3A">
      <w:pPr>
        <w:pStyle w:val="TOC1"/>
        <w:rPr>
          <w:rFonts w:asciiTheme="minorHAnsi" w:eastAsiaTheme="minorEastAsia" w:hAnsiTheme="minorHAnsi" w:cstheme="minorBidi"/>
          <w:color w:val="auto"/>
          <w:sz w:val="22"/>
          <w:szCs w:val="22"/>
          <w:lang w:eastAsia="en-AU"/>
        </w:rPr>
      </w:pPr>
      <w:r>
        <w:fldChar w:fldCharType="begin"/>
      </w:r>
      <w:r>
        <w:instrText xml:space="preserve"> TOC \o "1-3" \h \z \u </w:instrText>
      </w:r>
      <w:r>
        <w:fldChar w:fldCharType="separate"/>
      </w:r>
      <w:hyperlink w:anchor="_Toc43474785" w:history="1">
        <w:r w:rsidR="0039156D" w:rsidRPr="00F305C0">
          <w:rPr>
            <w:rStyle w:val="Hyperlink"/>
          </w:rPr>
          <w:t>Aim</w:t>
        </w:r>
        <w:r w:rsidR="0039156D">
          <w:rPr>
            <w:webHidden/>
          </w:rPr>
          <w:tab/>
        </w:r>
        <w:r w:rsidR="0039156D">
          <w:rPr>
            <w:webHidden/>
          </w:rPr>
          <w:fldChar w:fldCharType="begin"/>
        </w:r>
        <w:r w:rsidR="0039156D">
          <w:rPr>
            <w:webHidden/>
          </w:rPr>
          <w:instrText xml:space="preserve"> PAGEREF _Toc43474785 \h </w:instrText>
        </w:r>
        <w:r w:rsidR="0039156D">
          <w:rPr>
            <w:webHidden/>
          </w:rPr>
        </w:r>
        <w:r w:rsidR="0039156D">
          <w:rPr>
            <w:webHidden/>
          </w:rPr>
          <w:fldChar w:fldCharType="separate"/>
        </w:r>
        <w:r w:rsidR="0039156D">
          <w:rPr>
            <w:webHidden/>
          </w:rPr>
          <w:t>3</w:t>
        </w:r>
        <w:r w:rsidR="0039156D">
          <w:rPr>
            <w:webHidden/>
          </w:rPr>
          <w:fldChar w:fldCharType="end"/>
        </w:r>
      </w:hyperlink>
    </w:p>
    <w:p w14:paraId="5158AD3C" w14:textId="77777777" w:rsidR="0039156D" w:rsidRDefault="001767C3">
      <w:pPr>
        <w:pStyle w:val="TOC1"/>
        <w:rPr>
          <w:rFonts w:asciiTheme="minorHAnsi" w:eastAsiaTheme="minorEastAsia" w:hAnsiTheme="minorHAnsi" w:cstheme="minorBidi"/>
          <w:color w:val="auto"/>
          <w:sz w:val="22"/>
          <w:szCs w:val="22"/>
          <w:lang w:eastAsia="en-AU"/>
        </w:rPr>
      </w:pPr>
      <w:hyperlink w:anchor="_Toc43474786" w:history="1">
        <w:r w:rsidR="0039156D" w:rsidRPr="00F305C0">
          <w:rPr>
            <w:rStyle w:val="Hyperlink"/>
          </w:rPr>
          <w:t>Marine Scalefish Fishery management zones</w:t>
        </w:r>
        <w:r w:rsidR="0039156D">
          <w:rPr>
            <w:webHidden/>
          </w:rPr>
          <w:tab/>
        </w:r>
        <w:r w:rsidR="0039156D">
          <w:rPr>
            <w:webHidden/>
          </w:rPr>
          <w:fldChar w:fldCharType="begin"/>
        </w:r>
        <w:r w:rsidR="0039156D">
          <w:rPr>
            <w:webHidden/>
          </w:rPr>
          <w:instrText xml:space="preserve"> PAGEREF _Toc43474786 \h </w:instrText>
        </w:r>
        <w:r w:rsidR="0039156D">
          <w:rPr>
            <w:webHidden/>
          </w:rPr>
        </w:r>
        <w:r w:rsidR="0039156D">
          <w:rPr>
            <w:webHidden/>
          </w:rPr>
          <w:fldChar w:fldCharType="separate"/>
        </w:r>
        <w:r w:rsidR="0039156D">
          <w:rPr>
            <w:webHidden/>
          </w:rPr>
          <w:t>3</w:t>
        </w:r>
        <w:r w:rsidR="0039156D">
          <w:rPr>
            <w:webHidden/>
          </w:rPr>
          <w:fldChar w:fldCharType="end"/>
        </w:r>
      </w:hyperlink>
    </w:p>
    <w:p w14:paraId="51FAC46B" w14:textId="77777777" w:rsidR="0039156D" w:rsidRDefault="001767C3">
      <w:pPr>
        <w:pStyle w:val="TOC3"/>
        <w:tabs>
          <w:tab w:val="right" w:leader="dot" w:pos="10188"/>
        </w:tabs>
        <w:rPr>
          <w:rFonts w:asciiTheme="minorHAnsi" w:eastAsiaTheme="minorEastAsia" w:hAnsiTheme="minorHAnsi"/>
          <w:noProof/>
          <w:szCs w:val="22"/>
          <w:lang w:eastAsia="en-AU"/>
        </w:rPr>
      </w:pPr>
      <w:hyperlink w:anchor="_Toc43474787" w:history="1">
        <w:r w:rsidR="0039156D" w:rsidRPr="00F305C0">
          <w:rPr>
            <w:rStyle w:val="Hyperlink"/>
            <w:noProof/>
          </w:rPr>
          <w:t>Cape Jervis/Backstairs Passage boundary</w:t>
        </w:r>
        <w:r w:rsidR="0039156D">
          <w:rPr>
            <w:noProof/>
            <w:webHidden/>
          </w:rPr>
          <w:tab/>
        </w:r>
        <w:r w:rsidR="0039156D">
          <w:rPr>
            <w:noProof/>
            <w:webHidden/>
          </w:rPr>
          <w:fldChar w:fldCharType="begin"/>
        </w:r>
        <w:r w:rsidR="0039156D">
          <w:rPr>
            <w:noProof/>
            <w:webHidden/>
          </w:rPr>
          <w:instrText xml:space="preserve"> PAGEREF _Toc43474787 \h </w:instrText>
        </w:r>
        <w:r w:rsidR="0039156D">
          <w:rPr>
            <w:noProof/>
            <w:webHidden/>
          </w:rPr>
        </w:r>
        <w:r w:rsidR="0039156D">
          <w:rPr>
            <w:noProof/>
            <w:webHidden/>
          </w:rPr>
          <w:fldChar w:fldCharType="separate"/>
        </w:r>
        <w:r w:rsidR="0039156D">
          <w:rPr>
            <w:noProof/>
            <w:webHidden/>
          </w:rPr>
          <w:t>3</w:t>
        </w:r>
        <w:r w:rsidR="0039156D">
          <w:rPr>
            <w:noProof/>
            <w:webHidden/>
          </w:rPr>
          <w:fldChar w:fldCharType="end"/>
        </w:r>
      </w:hyperlink>
    </w:p>
    <w:p w14:paraId="1C4E0CBF" w14:textId="77777777" w:rsidR="0039156D" w:rsidRDefault="001767C3">
      <w:pPr>
        <w:pStyle w:val="TOC3"/>
        <w:tabs>
          <w:tab w:val="right" w:leader="dot" w:pos="10188"/>
        </w:tabs>
        <w:rPr>
          <w:rFonts w:asciiTheme="minorHAnsi" w:eastAsiaTheme="minorEastAsia" w:hAnsiTheme="minorHAnsi"/>
          <w:noProof/>
          <w:szCs w:val="22"/>
          <w:lang w:eastAsia="en-AU"/>
        </w:rPr>
      </w:pPr>
      <w:hyperlink w:anchor="_Toc43474788" w:history="1">
        <w:r w:rsidR="0039156D" w:rsidRPr="00F305C0">
          <w:rPr>
            <w:rStyle w:val="Hyperlink"/>
            <w:noProof/>
          </w:rPr>
          <w:t>South of Kangaroo Island boundary</w:t>
        </w:r>
        <w:r w:rsidR="0039156D">
          <w:rPr>
            <w:noProof/>
            <w:webHidden/>
          </w:rPr>
          <w:tab/>
        </w:r>
        <w:r w:rsidR="0039156D">
          <w:rPr>
            <w:noProof/>
            <w:webHidden/>
          </w:rPr>
          <w:fldChar w:fldCharType="begin"/>
        </w:r>
        <w:r w:rsidR="0039156D">
          <w:rPr>
            <w:noProof/>
            <w:webHidden/>
          </w:rPr>
          <w:instrText xml:space="preserve"> PAGEREF _Toc43474788 \h </w:instrText>
        </w:r>
        <w:r w:rsidR="0039156D">
          <w:rPr>
            <w:noProof/>
            <w:webHidden/>
          </w:rPr>
        </w:r>
        <w:r w:rsidR="0039156D">
          <w:rPr>
            <w:noProof/>
            <w:webHidden/>
          </w:rPr>
          <w:fldChar w:fldCharType="separate"/>
        </w:r>
        <w:r w:rsidR="0039156D">
          <w:rPr>
            <w:noProof/>
            <w:webHidden/>
          </w:rPr>
          <w:t>3</w:t>
        </w:r>
        <w:r w:rsidR="0039156D">
          <w:rPr>
            <w:noProof/>
            <w:webHidden/>
          </w:rPr>
          <w:fldChar w:fldCharType="end"/>
        </w:r>
      </w:hyperlink>
    </w:p>
    <w:p w14:paraId="794BC6FC" w14:textId="77777777" w:rsidR="0039156D" w:rsidRDefault="001767C3">
      <w:pPr>
        <w:pStyle w:val="TOC2"/>
        <w:tabs>
          <w:tab w:val="right" w:leader="dot" w:pos="10188"/>
        </w:tabs>
        <w:rPr>
          <w:rFonts w:asciiTheme="minorHAnsi" w:eastAsiaTheme="minorEastAsia" w:hAnsiTheme="minorHAnsi"/>
          <w:noProof/>
          <w:szCs w:val="22"/>
          <w:lang w:eastAsia="en-AU"/>
        </w:rPr>
      </w:pPr>
      <w:hyperlink w:anchor="_Toc43474789" w:history="1">
        <w:r w:rsidR="0039156D" w:rsidRPr="00F305C0">
          <w:rPr>
            <w:rStyle w:val="Hyperlink"/>
            <w:noProof/>
          </w:rPr>
          <w:t>Marine Scalefish Fishery zones of management map</w:t>
        </w:r>
        <w:r w:rsidR="0039156D">
          <w:rPr>
            <w:noProof/>
            <w:webHidden/>
          </w:rPr>
          <w:tab/>
        </w:r>
        <w:r w:rsidR="0039156D">
          <w:rPr>
            <w:noProof/>
            <w:webHidden/>
          </w:rPr>
          <w:fldChar w:fldCharType="begin"/>
        </w:r>
        <w:r w:rsidR="0039156D">
          <w:rPr>
            <w:noProof/>
            <w:webHidden/>
          </w:rPr>
          <w:instrText xml:space="preserve"> PAGEREF _Toc43474789 \h </w:instrText>
        </w:r>
        <w:r w:rsidR="0039156D">
          <w:rPr>
            <w:noProof/>
            <w:webHidden/>
          </w:rPr>
        </w:r>
        <w:r w:rsidR="0039156D">
          <w:rPr>
            <w:noProof/>
            <w:webHidden/>
          </w:rPr>
          <w:fldChar w:fldCharType="separate"/>
        </w:r>
        <w:r w:rsidR="0039156D">
          <w:rPr>
            <w:noProof/>
            <w:webHidden/>
          </w:rPr>
          <w:t>4</w:t>
        </w:r>
        <w:r w:rsidR="0039156D">
          <w:rPr>
            <w:noProof/>
            <w:webHidden/>
          </w:rPr>
          <w:fldChar w:fldCharType="end"/>
        </w:r>
      </w:hyperlink>
    </w:p>
    <w:p w14:paraId="6B1DBC50" w14:textId="77777777" w:rsidR="0039156D" w:rsidRDefault="001767C3">
      <w:pPr>
        <w:pStyle w:val="TOC1"/>
        <w:rPr>
          <w:rFonts w:asciiTheme="minorHAnsi" w:eastAsiaTheme="minorEastAsia" w:hAnsiTheme="minorHAnsi" w:cstheme="minorBidi"/>
          <w:color w:val="auto"/>
          <w:sz w:val="22"/>
          <w:szCs w:val="22"/>
          <w:lang w:eastAsia="en-AU"/>
        </w:rPr>
      </w:pPr>
      <w:hyperlink w:anchor="_Toc43474790" w:history="1">
        <w:r w:rsidR="0039156D" w:rsidRPr="00F305C0">
          <w:rPr>
            <w:rStyle w:val="Hyperlink"/>
            <w:lang w:eastAsia="en-AU"/>
          </w:rPr>
          <w:t>Recommended biological catches</w:t>
        </w:r>
        <w:r w:rsidR="0039156D">
          <w:rPr>
            <w:webHidden/>
          </w:rPr>
          <w:tab/>
        </w:r>
        <w:r w:rsidR="0039156D">
          <w:rPr>
            <w:webHidden/>
          </w:rPr>
          <w:fldChar w:fldCharType="begin"/>
        </w:r>
        <w:r w:rsidR="0039156D">
          <w:rPr>
            <w:webHidden/>
          </w:rPr>
          <w:instrText xml:space="preserve"> PAGEREF _Toc43474790 \h </w:instrText>
        </w:r>
        <w:r w:rsidR="0039156D">
          <w:rPr>
            <w:webHidden/>
          </w:rPr>
        </w:r>
        <w:r w:rsidR="0039156D">
          <w:rPr>
            <w:webHidden/>
          </w:rPr>
          <w:fldChar w:fldCharType="separate"/>
        </w:r>
        <w:r w:rsidR="0039156D">
          <w:rPr>
            <w:webHidden/>
          </w:rPr>
          <w:t>5</w:t>
        </w:r>
        <w:r w:rsidR="0039156D">
          <w:rPr>
            <w:webHidden/>
          </w:rPr>
          <w:fldChar w:fldCharType="end"/>
        </w:r>
      </w:hyperlink>
    </w:p>
    <w:p w14:paraId="6ECE322F" w14:textId="77777777" w:rsidR="0039156D" w:rsidRDefault="001767C3">
      <w:pPr>
        <w:pStyle w:val="TOC2"/>
        <w:tabs>
          <w:tab w:val="right" w:leader="dot" w:pos="10188"/>
        </w:tabs>
        <w:rPr>
          <w:rFonts w:asciiTheme="minorHAnsi" w:eastAsiaTheme="minorEastAsia" w:hAnsiTheme="minorHAnsi"/>
          <w:noProof/>
          <w:szCs w:val="22"/>
          <w:lang w:eastAsia="en-AU"/>
        </w:rPr>
      </w:pPr>
      <w:hyperlink w:anchor="_Toc43474791" w:history="1">
        <w:r w:rsidR="0039156D" w:rsidRPr="00F305C0">
          <w:rPr>
            <w:rStyle w:val="Hyperlink"/>
            <w:noProof/>
          </w:rPr>
          <w:t>Indicative TACC</w:t>
        </w:r>
        <w:r w:rsidR="0039156D">
          <w:rPr>
            <w:noProof/>
            <w:webHidden/>
          </w:rPr>
          <w:tab/>
        </w:r>
        <w:r w:rsidR="0039156D">
          <w:rPr>
            <w:noProof/>
            <w:webHidden/>
          </w:rPr>
          <w:fldChar w:fldCharType="begin"/>
        </w:r>
        <w:r w:rsidR="0039156D">
          <w:rPr>
            <w:noProof/>
            <w:webHidden/>
          </w:rPr>
          <w:instrText xml:space="preserve"> PAGEREF _Toc43474791 \h </w:instrText>
        </w:r>
        <w:r w:rsidR="0039156D">
          <w:rPr>
            <w:noProof/>
            <w:webHidden/>
          </w:rPr>
        </w:r>
        <w:r w:rsidR="0039156D">
          <w:rPr>
            <w:noProof/>
            <w:webHidden/>
          </w:rPr>
          <w:fldChar w:fldCharType="separate"/>
        </w:r>
        <w:r w:rsidR="0039156D">
          <w:rPr>
            <w:noProof/>
            <w:webHidden/>
          </w:rPr>
          <w:t>5</w:t>
        </w:r>
        <w:r w:rsidR="0039156D">
          <w:rPr>
            <w:noProof/>
            <w:webHidden/>
          </w:rPr>
          <w:fldChar w:fldCharType="end"/>
        </w:r>
      </w:hyperlink>
    </w:p>
    <w:p w14:paraId="77682F47" w14:textId="77777777" w:rsidR="0039156D" w:rsidRDefault="001767C3">
      <w:pPr>
        <w:pStyle w:val="TOC1"/>
        <w:rPr>
          <w:rFonts w:asciiTheme="minorHAnsi" w:eastAsiaTheme="minorEastAsia" w:hAnsiTheme="minorHAnsi" w:cstheme="minorBidi"/>
          <w:color w:val="auto"/>
          <w:sz w:val="22"/>
          <w:szCs w:val="22"/>
          <w:lang w:eastAsia="en-AU"/>
        </w:rPr>
      </w:pPr>
      <w:hyperlink w:anchor="_Toc43474792" w:history="1">
        <w:r w:rsidR="0039156D" w:rsidRPr="00F305C0">
          <w:rPr>
            <w:rStyle w:val="Hyperlink"/>
          </w:rPr>
          <w:t>Quota management for priority species</w:t>
        </w:r>
        <w:r w:rsidR="0039156D">
          <w:rPr>
            <w:webHidden/>
          </w:rPr>
          <w:tab/>
        </w:r>
        <w:r w:rsidR="0039156D">
          <w:rPr>
            <w:webHidden/>
          </w:rPr>
          <w:fldChar w:fldCharType="begin"/>
        </w:r>
        <w:r w:rsidR="0039156D">
          <w:rPr>
            <w:webHidden/>
          </w:rPr>
          <w:instrText xml:space="preserve"> PAGEREF _Toc43474792 \h </w:instrText>
        </w:r>
        <w:r w:rsidR="0039156D">
          <w:rPr>
            <w:webHidden/>
          </w:rPr>
        </w:r>
        <w:r w:rsidR="0039156D">
          <w:rPr>
            <w:webHidden/>
          </w:rPr>
          <w:fldChar w:fldCharType="separate"/>
        </w:r>
        <w:r w:rsidR="0039156D">
          <w:rPr>
            <w:webHidden/>
          </w:rPr>
          <w:t>6</w:t>
        </w:r>
        <w:r w:rsidR="0039156D">
          <w:rPr>
            <w:webHidden/>
          </w:rPr>
          <w:fldChar w:fldCharType="end"/>
        </w:r>
      </w:hyperlink>
    </w:p>
    <w:p w14:paraId="72EAC0E2" w14:textId="77777777" w:rsidR="0039156D" w:rsidRDefault="001767C3">
      <w:pPr>
        <w:pStyle w:val="TOC2"/>
        <w:tabs>
          <w:tab w:val="right" w:leader="dot" w:pos="10188"/>
        </w:tabs>
        <w:rPr>
          <w:rFonts w:asciiTheme="minorHAnsi" w:eastAsiaTheme="minorEastAsia" w:hAnsiTheme="minorHAnsi"/>
          <w:noProof/>
          <w:szCs w:val="22"/>
          <w:lang w:eastAsia="en-AU"/>
        </w:rPr>
      </w:pPr>
      <w:hyperlink w:anchor="_Toc43474793" w:history="1">
        <w:r w:rsidR="0039156D" w:rsidRPr="00F305C0">
          <w:rPr>
            <w:rStyle w:val="Hyperlink"/>
            <w:noProof/>
          </w:rPr>
          <w:t>Proposed priority species for ITQ by zone</w:t>
        </w:r>
        <w:r w:rsidR="0039156D">
          <w:rPr>
            <w:noProof/>
            <w:webHidden/>
          </w:rPr>
          <w:tab/>
        </w:r>
        <w:r w:rsidR="0039156D">
          <w:rPr>
            <w:noProof/>
            <w:webHidden/>
          </w:rPr>
          <w:fldChar w:fldCharType="begin"/>
        </w:r>
        <w:r w:rsidR="0039156D">
          <w:rPr>
            <w:noProof/>
            <w:webHidden/>
          </w:rPr>
          <w:instrText xml:space="preserve"> PAGEREF _Toc43474793 \h </w:instrText>
        </w:r>
        <w:r w:rsidR="0039156D">
          <w:rPr>
            <w:noProof/>
            <w:webHidden/>
          </w:rPr>
        </w:r>
        <w:r w:rsidR="0039156D">
          <w:rPr>
            <w:noProof/>
            <w:webHidden/>
          </w:rPr>
          <w:fldChar w:fldCharType="separate"/>
        </w:r>
        <w:r w:rsidR="0039156D">
          <w:rPr>
            <w:noProof/>
            <w:webHidden/>
          </w:rPr>
          <w:t>6</w:t>
        </w:r>
        <w:r w:rsidR="0039156D">
          <w:rPr>
            <w:noProof/>
            <w:webHidden/>
          </w:rPr>
          <w:fldChar w:fldCharType="end"/>
        </w:r>
      </w:hyperlink>
    </w:p>
    <w:p w14:paraId="32F69550" w14:textId="77777777" w:rsidR="0039156D" w:rsidRDefault="001767C3">
      <w:pPr>
        <w:pStyle w:val="TOC1"/>
        <w:rPr>
          <w:rFonts w:asciiTheme="minorHAnsi" w:eastAsiaTheme="minorEastAsia" w:hAnsiTheme="minorHAnsi" w:cstheme="minorBidi"/>
          <w:color w:val="auto"/>
          <w:sz w:val="22"/>
          <w:szCs w:val="22"/>
          <w:lang w:eastAsia="en-AU"/>
        </w:rPr>
      </w:pPr>
      <w:hyperlink w:anchor="_Toc43474794" w:history="1">
        <w:r w:rsidR="0039156D" w:rsidRPr="00F305C0">
          <w:rPr>
            <w:rStyle w:val="Hyperlink"/>
            <w:lang w:eastAsia="en-AU"/>
          </w:rPr>
          <w:t>Feedback</w:t>
        </w:r>
        <w:r w:rsidR="0039156D">
          <w:rPr>
            <w:webHidden/>
          </w:rPr>
          <w:tab/>
        </w:r>
        <w:r w:rsidR="0039156D">
          <w:rPr>
            <w:webHidden/>
          </w:rPr>
          <w:fldChar w:fldCharType="begin"/>
        </w:r>
        <w:r w:rsidR="0039156D">
          <w:rPr>
            <w:webHidden/>
          </w:rPr>
          <w:instrText xml:space="preserve"> PAGEREF _Toc43474794 \h </w:instrText>
        </w:r>
        <w:r w:rsidR="0039156D">
          <w:rPr>
            <w:webHidden/>
          </w:rPr>
        </w:r>
        <w:r w:rsidR="0039156D">
          <w:rPr>
            <w:webHidden/>
          </w:rPr>
          <w:fldChar w:fldCharType="separate"/>
        </w:r>
        <w:r w:rsidR="0039156D">
          <w:rPr>
            <w:webHidden/>
          </w:rPr>
          <w:t>7</w:t>
        </w:r>
        <w:r w:rsidR="0039156D">
          <w:rPr>
            <w:webHidden/>
          </w:rPr>
          <w:fldChar w:fldCharType="end"/>
        </w:r>
      </w:hyperlink>
    </w:p>
    <w:p w14:paraId="38CAF79A" w14:textId="77777777" w:rsidR="0039156D" w:rsidRDefault="001767C3">
      <w:pPr>
        <w:pStyle w:val="TOC1"/>
        <w:rPr>
          <w:rFonts w:asciiTheme="minorHAnsi" w:eastAsiaTheme="minorEastAsia" w:hAnsiTheme="minorHAnsi" w:cstheme="minorBidi"/>
          <w:color w:val="auto"/>
          <w:sz w:val="22"/>
          <w:szCs w:val="22"/>
          <w:lang w:eastAsia="en-AU"/>
        </w:rPr>
      </w:pPr>
      <w:hyperlink w:anchor="_Toc43474795" w:history="1">
        <w:r w:rsidR="0039156D" w:rsidRPr="00F305C0">
          <w:rPr>
            <w:rStyle w:val="Hyperlink"/>
            <w:lang w:eastAsia="en-AU"/>
          </w:rPr>
          <w:t>Next steps</w:t>
        </w:r>
        <w:r w:rsidR="0039156D">
          <w:rPr>
            <w:webHidden/>
          </w:rPr>
          <w:tab/>
        </w:r>
        <w:r w:rsidR="0039156D">
          <w:rPr>
            <w:webHidden/>
          </w:rPr>
          <w:fldChar w:fldCharType="begin"/>
        </w:r>
        <w:r w:rsidR="0039156D">
          <w:rPr>
            <w:webHidden/>
          </w:rPr>
          <w:instrText xml:space="preserve"> PAGEREF _Toc43474795 \h </w:instrText>
        </w:r>
        <w:r w:rsidR="0039156D">
          <w:rPr>
            <w:webHidden/>
          </w:rPr>
        </w:r>
        <w:r w:rsidR="0039156D">
          <w:rPr>
            <w:webHidden/>
          </w:rPr>
          <w:fldChar w:fldCharType="separate"/>
        </w:r>
        <w:r w:rsidR="0039156D">
          <w:rPr>
            <w:webHidden/>
          </w:rPr>
          <w:t>7</w:t>
        </w:r>
        <w:r w:rsidR="0039156D">
          <w:rPr>
            <w:webHidden/>
          </w:rPr>
          <w:fldChar w:fldCharType="end"/>
        </w:r>
      </w:hyperlink>
    </w:p>
    <w:p w14:paraId="5D89AB1B" w14:textId="77777777" w:rsidR="0039156D" w:rsidRDefault="001767C3">
      <w:pPr>
        <w:pStyle w:val="TOC1"/>
        <w:rPr>
          <w:rFonts w:asciiTheme="minorHAnsi" w:eastAsiaTheme="minorEastAsia" w:hAnsiTheme="minorHAnsi" w:cstheme="minorBidi"/>
          <w:color w:val="auto"/>
          <w:sz w:val="22"/>
          <w:szCs w:val="22"/>
          <w:lang w:eastAsia="en-AU"/>
        </w:rPr>
      </w:pPr>
      <w:hyperlink w:anchor="_Toc43474796" w:history="1">
        <w:r w:rsidR="0039156D" w:rsidRPr="00F305C0">
          <w:rPr>
            <w:rStyle w:val="Hyperlink"/>
            <w:lang w:eastAsia="en-AU"/>
          </w:rPr>
          <w:t>Contact</w:t>
        </w:r>
        <w:r w:rsidR="0039156D">
          <w:rPr>
            <w:webHidden/>
          </w:rPr>
          <w:tab/>
        </w:r>
        <w:r w:rsidR="0039156D">
          <w:rPr>
            <w:webHidden/>
          </w:rPr>
          <w:fldChar w:fldCharType="begin"/>
        </w:r>
        <w:r w:rsidR="0039156D">
          <w:rPr>
            <w:webHidden/>
          </w:rPr>
          <w:instrText xml:space="preserve"> PAGEREF _Toc43474796 \h </w:instrText>
        </w:r>
        <w:r w:rsidR="0039156D">
          <w:rPr>
            <w:webHidden/>
          </w:rPr>
        </w:r>
        <w:r w:rsidR="0039156D">
          <w:rPr>
            <w:webHidden/>
          </w:rPr>
          <w:fldChar w:fldCharType="separate"/>
        </w:r>
        <w:r w:rsidR="0039156D">
          <w:rPr>
            <w:webHidden/>
          </w:rPr>
          <w:t>7</w:t>
        </w:r>
        <w:r w:rsidR="0039156D">
          <w:rPr>
            <w:webHidden/>
          </w:rPr>
          <w:fldChar w:fldCharType="end"/>
        </w:r>
      </w:hyperlink>
    </w:p>
    <w:p w14:paraId="057614B0" w14:textId="77777777" w:rsidR="000B4C5F" w:rsidRDefault="00E46F3A">
      <w:pPr>
        <w:spacing w:line="240" w:lineRule="auto"/>
        <w:rPr>
          <w:rFonts w:cs="Arial"/>
          <w:color w:val="00427A"/>
          <w:sz w:val="32"/>
          <w:szCs w:val="28"/>
          <w:u w:color="000000"/>
          <w:lang w:val="en-US" w:eastAsia="ja-JP"/>
        </w:rPr>
      </w:pPr>
      <w:r>
        <w:rPr>
          <w:rFonts w:cs="Times New Roman (Body CS)"/>
          <w:noProof/>
          <w:color w:val="00427A"/>
          <w:sz w:val="24"/>
        </w:rPr>
        <w:fldChar w:fldCharType="end"/>
      </w:r>
      <w:r w:rsidR="000B4C5F">
        <w:br w:type="page"/>
      </w:r>
    </w:p>
    <w:p w14:paraId="1E044A4E" w14:textId="77777777" w:rsidR="00F34A01" w:rsidRDefault="00E001A0" w:rsidP="008F6A81">
      <w:pPr>
        <w:pStyle w:val="Heading1"/>
        <w:ind w:right="-150"/>
      </w:pPr>
      <w:bookmarkStart w:id="0" w:name="_Toc43474785"/>
      <w:r>
        <w:lastRenderedPageBreak/>
        <w:t>Aim</w:t>
      </w:r>
      <w:bookmarkEnd w:id="0"/>
    </w:p>
    <w:p w14:paraId="25A345D0" w14:textId="77777777" w:rsidR="0060680D" w:rsidRDefault="001E7CAC">
      <w:pPr>
        <w:pStyle w:val="BodyText"/>
        <w:spacing w:after="220"/>
      </w:pPr>
      <w:r>
        <w:t>This</w:t>
      </w:r>
      <w:r w:rsidR="00E001A0">
        <w:t xml:space="preserve"> document </w:t>
      </w:r>
      <w:r>
        <w:t>provides</w:t>
      </w:r>
      <w:r w:rsidR="00E001A0">
        <w:t xml:space="preserve"> the following information about the marine scalefish fishery reform: </w:t>
      </w:r>
      <w:bookmarkStart w:id="1" w:name="_Toc11745777"/>
      <w:bookmarkStart w:id="2" w:name="_Toc11745834"/>
    </w:p>
    <w:p w14:paraId="03BA0E3D" w14:textId="77777777" w:rsidR="008112D2" w:rsidRPr="008112D2" w:rsidRDefault="007F45EF" w:rsidP="008112D2">
      <w:pPr>
        <w:pStyle w:val="ListParagraph"/>
        <w:numPr>
          <w:ilvl w:val="0"/>
          <w:numId w:val="4"/>
        </w:numPr>
        <w:rPr>
          <w:rFonts w:ascii="Arial" w:hAnsi="Arial" w:cs="Arial"/>
        </w:rPr>
      </w:pPr>
      <w:r>
        <w:rPr>
          <w:rFonts w:ascii="Arial" w:hAnsi="Arial" w:cs="Arial"/>
        </w:rPr>
        <w:t>b</w:t>
      </w:r>
      <w:r w:rsidR="008112D2" w:rsidRPr="008112D2">
        <w:rPr>
          <w:rFonts w:ascii="Arial" w:hAnsi="Arial" w:cs="Arial"/>
        </w:rPr>
        <w:t>oundaries of proposed management zones</w:t>
      </w:r>
    </w:p>
    <w:p w14:paraId="13C0ED30" w14:textId="77777777" w:rsidR="00E001A0" w:rsidRPr="008112D2" w:rsidRDefault="00E001A0" w:rsidP="00E001A0">
      <w:pPr>
        <w:pStyle w:val="ListParagraph"/>
        <w:numPr>
          <w:ilvl w:val="0"/>
          <w:numId w:val="4"/>
        </w:numPr>
        <w:rPr>
          <w:rFonts w:ascii="Arial" w:hAnsi="Arial" w:cs="Arial"/>
        </w:rPr>
      </w:pPr>
      <w:r>
        <w:rPr>
          <w:rFonts w:ascii="Arial" w:hAnsi="Arial" w:cs="Arial"/>
        </w:rPr>
        <w:t>i</w:t>
      </w:r>
      <w:r w:rsidRPr="008112D2">
        <w:rPr>
          <w:rFonts w:ascii="Arial" w:hAnsi="Arial" w:cs="Arial"/>
        </w:rPr>
        <w:t xml:space="preserve">ndicative Total Allowable Commercial Catch (TACC) for </w:t>
      </w:r>
      <w:r>
        <w:rPr>
          <w:rFonts w:ascii="Arial" w:hAnsi="Arial" w:cs="Arial"/>
        </w:rPr>
        <w:t>priority</w:t>
      </w:r>
      <w:r w:rsidRPr="008112D2">
        <w:rPr>
          <w:rFonts w:ascii="Arial" w:hAnsi="Arial" w:cs="Arial"/>
        </w:rPr>
        <w:t xml:space="preserve"> fish stocks </w:t>
      </w:r>
    </w:p>
    <w:p w14:paraId="6B5818A9" w14:textId="77777777" w:rsidR="008112D2" w:rsidRPr="008112D2" w:rsidRDefault="00A11183" w:rsidP="008112D2">
      <w:pPr>
        <w:pStyle w:val="ListParagraph"/>
        <w:numPr>
          <w:ilvl w:val="0"/>
          <w:numId w:val="4"/>
        </w:numPr>
        <w:rPr>
          <w:rFonts w:ascii="Arial" w:hAnsi="Arial" w:cs="Arial"/>
        </w:rPr>
      </w:pPr>
      <w:r>
        <w:rPr>
          <w:rFonts w:ascii="Arial" w:hAnsi="Arial" w:cs="Arial"/>
        </w:rPr>
        <w:t xml:space="preserve">indicative priority species to be managed under </w:t>
      </w:r>
      <w:r w:rsidR="008112D2" w:rsidRPr="008112D2">
        <w:rPr>
          <w:rFonts w:ascii="Arial" w:hAnsi="Arial" w:cs="Arial"/>
        </w:rPr>
        <w:t>Individual Transferrable Quota (ITQ)</w:t>
      </w:r>
      <w:r w:rsidR="00E001A0">
        <w:rPr>
          <w:rFonts w:ascii="Arial" w:hAnsi="Arial" w:cs="Arial"/>
        </w:rPr>
        <w:t>.</w:t>
      </w:r>
    </w:p>
    <w:p w14:paraId="2DB6FD83" w14:textId="77777777" w:rsidR="00A41BFB" w:rsidRPr="00EB6D6B" w:rsidRDefault="00A41BFB" w:rsidP="00A41BFB">
      <w:pPr>
        <w:pStyle w:val="Heading1"/>
      </w:pPr>
      <w:bookmarkStart w:id="3" w:name="_Toc43474786"/>
      <w:bookmarkEnd w:id="1"/>
      <w:bookmarkEnd w:id="2"/>
      <w:r>
        <w:t>Marine Scalefish Fishery management zones</w:t>
      </w:r>
      <w:bookmarkEnd w:id="3"/>
    </w:p>
    <w:p w14:paraId="602856A4" w14:textId="193D10DB" w:rsidR="00E001A0" w:rsidRDefault="00E001A0" w:rsidP="00FF57C4">
      <w:pPr>
        <w:pStyle w:val="BodyText"/>
        <w:spacing w:after="220"/>
        <w:rPr>
          <w:rFonts w:cs="Arial"/>
        </w:rPr>
      </w:pPr>
      <w:r>
        <w:t xml:space="preserve">In its </w:t>
      </w:r>
      <w:hyperlink r:id="rId17" w:history="1">
        <w:r w:rsidRPr="00A11183">
          <w:rPr>
            <w:rStyle w:val="Hyperlink"/>
          </w:rPr>
          <w:t>final report</w:t>
        </w:r>
      </w:hyperlink>
      <w:r>
        <w:t xml:space="preserve"> presented in October 2019, the </w:t>
      </w:r>
      <w:r w:rsidR="00A11183">
        <w:t>Commercial Marine Scalefish Fishery Reform Advisory Committee (</w:t>
      </w:r>
      <w:r>
        <w:t>CMSFRAC</w:t>
      </w:r>
      <w:r w:rsidR="00A11183">
        <w:t>)</w:t>
      </w:r>
      <w:r>
        <w:t xml:space="preserve"> advised that there was support for dividing the fishery into four </w:t>
      </w:r>
      <w:r w:rsidR="001E662C">
        <w:t>management zone</w:t>
      </w:r>
      <w:r>
        <w:t>s; W</w:t>
      </w:r>
      <w:r w:rsidRPr="00CF41DB">
        <w:rPr>
          <w:rFonts w:cs="Arial"/>
        </w:rPr>
        <w:t>est Coast</w:t>
      </w:r>
      <w:r>
        <w:rPr>
          <w:rFonts w:cs="Arial"/>
        </w:rPr>
        <w:t xml:space="preserve">, </w:t>
      </w:r>
      <w:r w:rsidRPr="00CF41DB">
        <w:rPr>
          <w:rFonts w:cs="Arial"/>
        </w:rPr>
        <w:t>Spencer Gulf</w:t>
      </w:r>
      <w:r>
        <w:rPr>
          <w:rFonts w:cs="Arial"/>
        </w:rPr>
        <w:t xml:space="preserve">, </w:t>
      </w:r>
      <w:r w:rsidRPr="00CF41DB">
        <w:rPr>
          <w:rFonts w:cs="Arial"/>
        </w:rPr>
        <w:t>Gulf</w:t>
      </w:r>
      <w:r>
        <w:t xml:space="preserve"> </w:t>
      </w:r>
      <w:r w:rsidRPr="00CF41DB">
        <w:rPr>
          <w:rFonts w:cs="Arial"/>
        </w:rPr>
        <w:t>St Vincent</w:t>
      </w:r>
      <w:r>
        <w:rPr>
          <w:rFonts w:cs="Arial"/>
        </w:rPr>
        <w:t>/Kangaroo Island and the S</w:t>
      </w:r>
      <w:r w:rsidRPr="00CF41DB">
        <w:rPr>
          <w:rFonts w:cs="Arial"/>
        </w:rPr>
        <w:t>outh East</w:t>
      </w:r>
      <w:r>
        <w:rPr>
          <w:rFonts w:cs="Arial"/>
        </w:rPr>
        <w:t>.</w:t>
      </w:r>
      <w:r w:rsidR="00A11183">
        <w:rPr>
          <w:rFonts w:cs="Arial"/>
        </w:rPr>
        <w:t xml:space="preserve"> </w:t>
      </w:r>
      <w:r>
        <w:rPr>
          <w:rFonts w:cs="Arial"/>
        </w:rPr>
        <w:t>However, further</w:t>
      </w:r>
      <w:r w:rsidRPr="00CF41DB">
        <w:rPr>
          <w:rFonts w:cs="Arial"/>
        </w:rPr>
        <w:t xml:space="preserve"> refinement was recommended for the Gulf</w:t>
      </w:r>
      <w:r>
        <w:t xml:space="preserve"> </w:t>
      </w:r>
      <w:r w:rsidRPr="00CF41DB">
        <w:rPr>
          <w:rFonts w:cs="Arial"/>
        </w:rPr>
        <w:t>St Vincent/Kangaroo Island</w:t>
      </w:r>
      <w:r>
        <w:rPr>
          <w:rFonts w:cs="Arial"/>
        </w:rPr>
        <w:t xml:space="preserve"> zone and South East zone boundary.</w:t>
      </w:r>
    </w:p>
    <w:p w14:paraId="0690B96F" w14:textId="77777777" w:rsidR="00A11183" w:rsidRDefault="00A11183" w:rsidP="00FF57C4">
      <w:pPr>
        <w:pStyle w:val="BodyText"/>
        <w:spacing w:after="220"/>
      </w:pPr>
      <w:r>
        <w:t xml:space="preserve">A project team including fisheries managers, fisheries scientists, ecosystem modellers and fisheries officers have undertaken a further review to refine the boundaries. </w:t>
      </w:r>
      <w:r w:rsidR="00E001A0">
        <w:t xml:space="preserve">In refining these zone boundaries consideration was given to: </w:t>
      </w:r>
    </w:p>
    <w:p w14:paraId="7926815B" w14:textId="77777777" w:rsidR="00E001A0" w:rsidRPr="0061767E" w:rsidRDefault="00E001A0" w:rsidP="00E001A0">
      <w:pPr>
        <w:pStyle w:val="ListParagraph"/>
        <w:numPr>
          <w:ilvl w:val="0"/>
          <w:numId w:val="4"/>
        </w:numPr>
        <w:rPr>
          <w:rFonts w:ascii="Arial" w:hAnsi="Arial" w:cs="Arial"/>
        </w:rPr>
      </w:pPr>
      <w:r>
        <w:rPr>
          <w:rFonts w:ascii="Arial" w:hAnsi="Arial" w:cs="Arial"/>
        </w:rPr>
        <w:t>a</w:t>
      </w:r>
      <w:r w:rsidRPr="0061767E">
        <w:rPr>
          <w:rFonts w:ascii="Arial" w:hAnsi="Arial" w:cs="Arial"/>
        </w:rPr>
        <w:t xml:space="preserve">dvice from the CMSFRAC and industry feedback to the </w:t>
      </w:r>
      <w:hyperlink r:id="rId18" w:history="1">
        <w:r w:rsidRPr="007F45EF">
          <w:rPr>
            <w:rStyle w:val="Hyperlink"/>
            <w:rFonts w:ascii="Arial" w:hAnsi="Arial" w:cs="Arial"/>
          </w:rPr>
          <w:t>Industry Consultation paper</w:t>
        </w:r>
      </w:hyperlink>
      <w:r w:rsidRPr="0061767E">
        <w:rPr>
          <w:rFonts w:ascii="Arial" w:hAnsi="Arial" w:cs="Arial"/>
        </w:rPr>
        <w:t xml:space="preserve"> (September 2019) relating to zoning scenarios</w:t>
      </w:r>
    </w:p>
    <w:p w14:paraId="553D7C70" w14:textId="77777777" w:rsidR="00E001A0" w:rsidRPr="0061767E" w:rsidRDefault="00E001A0" w:rsidP="00E001A0">
      <w:pPr>
        <w:pStyle w:val="ListParagraph"/>
        <w:numPr>
          <w:ilvl w:val="0"/>
          <w:numId w:val="4"/>
        </w:numPr>
        <w:rPr>
          <w:rFonts w:ascii="Arial" w:hAnsi="Arial" w:cs="Arial"/>
        </w:rPr>
      </w:pPr>
      <w:r>
        <w:rPr>
          <w:rFonts w:ascii="Arial" w:hAnsi="Arial" w:cs="Arial"/>
        </w:rPr>
        <w:t>e</w:t>
      </w:r>
      <w:r w:rsidRPr="0061767E">
        <w:rPr>
          <w:rFonts w:ascii="Arial" w:hAnsi="Arial" w:cs="Arial"/>
        </w:rPr>
        <w:t>xisting marine fishing area (MFA) blocks used by fishers since 1983 to report catch and effort</w:t>
      </w:r>
    </w:p>
    <w:p w14:paraId="32DBC29C" w14:textId="77777777" w:rsidR="00E001A0" w:rsidRPr="0061767E" w:rsidRDefault="00E001A0" w:rsidP="00E001A0">
      <w:pPr>
        <w:pStyle w:val="ListParagraph"/>
        <w:numPr>
          <w:ilvl w:val="0"/>
          <w:numId w:val="4"/>
        </w:numPr>
        <w:rPr>
          <w:rFonts w:ascii="Arial" w:hAnsi="Arial" w:cs="Arial"/>
        </w:rPr>
      </w:pPr>
      <w:r>
        <w:rPr>
          <w:rFonts w:ascii="Arial" w:hAnsi="Arial" w:cs="Arial"/>
        </w:rPr>
        <w:t>b</w:t>
      </w:r>
      <w:r w:rsidRPr="0061767E">
        <w:rPr>
          <w:rFonts w:ascii="Arial" w:hAnsi="Arial" w:cs="Arial"/>
        </w:rPr>
        <w:t>iological stock structure for snapper, and the recently developed snapper management boundary for S</w:t>
      </w:r>
      <w:r>
        <w:rPr>
          <w:rFonts w:ascii="Arial" w:hAnsi="Arial" w:cs="Arial"/>
        </w:rPr>
        <w:t xml:space="preserve">outh </w:t>
      </w:r>
      <w:r w:rsidRPr="0061767E">
        <w:rPr>
          <w:rFonts w:ascii="Arial" w:hAnsi="Arial" w:cs="Arial"/>
        </w:rPr>
        <w:t>E</w:t>
      </w:r>
      <w:r>
        <w:rPr>
          <w:rFonts w:ascii="Arial" w:hAnsi="Arial" w:cs="Arial"/>
        </w:rPr>
        <w:t>ast</w:t>
      </w:r>
      <w:r w:rsidRPr="0061767E">
        <w:rPr>
          <w:rFonts w:ascii="Arial" w:hAnsi="Arial" w:cs="Arial"/>
        </w:rPr>
        <w:t xml:space="preserve"> waters</w:t>
      </w:r>
    </w:p>
    <w:p w14:paraId="33C5A00E" w14:textId="77777777" w:rsidR="00E001A0" w:rsidRPr="0061767E" w:rsidRDefault="00E001A0" w:rsidP="00E001A0">
      <w:pPr>
        <w:pStyle w:val="ListParagraph"/>
        <w:numPr>
          <w:ilvl w:val="0"/>
          <w:numId w:val="4"/>
        </w:numPr>
        <w:rPr>
          <w:rFonts w:ascii="Arial" w:hAnsi="Arial" w:cs="Arial"/>
        </w:rPr>
      </w:pPr>
      <w:r>
        <w:rPr>
          <w:rFonts w:ascii="Arial" w:hAnsi="Arial" w:cs="Arial"/>
        </w:rPr>
        <w:t>h</w:t>
      </w:r>
      <w:r w:rsidRPr="0061767E">
        <w:rPr>
          <w:rFonts w:ascii="Arial" w:hAnsi="Arial" w:cs="Arial"/>
        </w:rPr>
        <w:t>abitats and bioregions identified through ecosystem modelling, which will be used to underpin future management strategy development, including:</w:t>
      </w:r>
    </w:p>
    <w:p w14:paraId="3F9A1A91" w14:textId="77777777" w:rsidR="00E001A0" w:rsidRPr="0061767E" w:rsidRDefault="00E001A0" w:rsidP="00E001A0">
      <w:pPr>
        <w:pStyle w:val="ListParagraph"/>
        <w:numPr>
          <w:ilvl w:val="0"/>
          <w:numId w:val="8"/>
        </w:numPr>
        <w:ind w:left="1134" w:hanging="425"/>
        <w:rPr>
          <w:rFonts w:ascii="Arial" w:hAnsi="Arial" w:cs="Arial"/>
        </w:rPr>
      </w:pPr>
      <w:r w:rsidRPr="0061767E">
        <w:rPr>
          <w:rFonts w:ascii="Arial" w:hAnsi="Arial" w:cs="Arial"/>
        </w:rPr>
        <w:t>the outer depth limit of zones</w:t>
      </w:r>
    </w:p>
    <w:p w14:paraId="15FA1295" w14:textId="77777777" w:rsidR="001E7CAC" w:rsidRPr="00FF57C4" w:rsidRDefault="00E001A0" w:rsidP="00F92564">
      <w:pPr>
        <w:pStyle w:val="ListParagraph"/>
        <w:numPr>
          <w:ilvl w:val="0"/>
          <w:numId w:val="8"/>
        </w:numPr>
        <w:ind w:left="1134" w:hanging="425"/>
        <w:rPr>
          <w:rFonts w:ascii="Arial" w:hAnsi="Arial" w:cs="Arial"/>
        </w:rPr>
      </w:pPr>
      <w:r w:rsidRPr="0061767E">
        <w:rPr>
          <w:rFonts w:ascii="Arial" w:hAnsi="Arial" w:cs="Arial"/>
        </w:rPr>
        <w:t xml:space="preserve">other SA fisheries and Commonwealth-managed fisheries </w:t>
      </w:r>
    </w:p>
    <w:p w14:paraId="35A792CE" w14:textId="77777777" w:rsidR="00E001A0" w:rsidRPr="0061767E" w:rsidRDefault="00E001A0" w:rsidP="00E001A0">
      <w:pPr>
        <w:pStyle w:val="ListParagraph"/>
        <w:numPr>
          <w:ilvl w:val="0"/>
          <w:numId w:val="8"/>
        </w:numPr>
        <w:ind w:left="1134" w:hanging="425"/>
        <w:rPr>
          <w:rFonts w:ascii="Arial" w:hAnsi="Arial" w:cs="Arial"/>
        </w:rPr>
      </w:pPr>
      <w:r w:rsidRPr="0061767E">
        <w:rPr>
          <w:rFonts w:ascii="Arial" w:hAnsi="Arial" w:cs="Arial"/>
        </w:rPr>
        <w:t>natural breaks in habitat and connectivity</w:t>
      </w:r>
    </w:p>
    <w:p w14:paraId="78B7B6E8" w14:textId="77777777" w:rsidR="00E001A0" w:rsidRPr="00CF41DB" w:rsidRDefault="00E001A0" w:rsidP="00E001A0">
      <w:pPr>
        <w:pStyle w:val="Heading3"/>
      </w:pPr>
      <w:bookmarkStart w:id="4" w:name="_Toc43474787"/>
      <w:r>
        <w:t>Cape Jervis/Backstairs Passage boundary</w:t>
      </w:r>
      <w:bookmarkEnd w:id="4"/>
    </w:p>
    <w:p w14:paraId="3AF0ECD3" w14:textId="77777777" w:rsidR="00E001A0" w:rsidRPr="00C81F77" w:rsidRDefault="00E001A0" w:rsidP="00E001A0">
      <w:pPr>
        <w:pStyle w:val="BodyText"/>
      </w:pPr>
      <w:r w:rsidRPr="00C81F77">
        <w:t xml:space="preserve">The </w:t>
      </w:r>
      <w:r>
        <w:t xml:space="preserve">proposed </w:t>
      </w:r>
      <w:r w:rsidRPr="00C81F77">
        <w:t xml:space="preserve">division of MSF block 44, </w:t>
      </w:r>
      <w:r w:rsidR="00A11183">
        <w:t>into</w:t>
      </w:r>
      <w:r w:rsidRPr="00C81F77">
        <w:t xml:space="preserve"> 44A and 44B</w:t>
      </w:r>
      <w:r>
        <w:t>, has been determined as the boundary</w:t>
      </w:r>
      <w:r w:rsidRPr="00C81F77">
        <w:t xml:space="preserve"> </w:t>
      </w:r>
      <w:r>
        <w:t xml:space="preserve">as it </w:t>
      </w:r>
      <w:r w:rsidRPr="00C81F77">
        <w:t>aligns with a natural ecosystem break and with historical fishing effort in the fishery</w:t>
      </w:r>
      <w:r w:rsidR="00A11183">
        <w:t>.</w:t>
      </w:r>
    </w:p>
    <w:p w14:paraId="47BA2EF2" w14:textId="77777777" w:rsidR="00E001A0" w:rsidRPr="00D17AAC" w:rsidRDefault="00E001A0" w:rsidP="00E001A0">
      <w:pPr>
        <w:pStyle w:val="Heading3"/>
      </w:pPr>
      <w:bookmarkStart w:id="5" w:name="_Toc43474788"/>
      <w:r>
        <w:t>South of Kangaroo Island boundary</w:t>
      </w:r>
      <w:bookmarkEnd w:id="5"/>
    </w:p>
    <w:p w14:paraId="4CA7E104" w14:textId="77777777" w:rsidR="00E001A0" w:rsidRDefault="00E001A0" w:rsidP="00E001A0">
      <w:pPr>
        <w:pStyle w:val="BodyText"/>
        <w:spacing w:after="220"/>
        <w:rPr>
          <w:rFonts w:cs="Arial"/>
        </w:rPr>
      </w:pPr>
      <w:r>
        <w:t xml:space="preserve">Feedback to the </w:t>
      </w:r>
      <w:hyperlink r:id="rId19" w:history="1">
        <w:r w:rsidRPr="007F45EF">
          <w:rPr>
            <w:rStyle w:val="Hyperlink"/>
            <w:rFonts w:cs="Arial"/>
          </w:rPr>
          <w:t>Industry Consultation paper</w:t>
        </w:r>
      </w:hyperlink>
      <w:r>
        <w:rPr>
          <w:rFonts w:cs="Arial"/>
        </w:rPr>
        <w:t xml:space="preserve"> favoured including the region south of Kangaroo Island in the GSV/KI zone. However, fishing effort in the MSF has been historically low in the region</w:t>
      </w:r>
      <w:r w:rsidR="00A11183">
        <w:rPr>
          <w:rFonts w:cs="Arial"/>
        </w:rPr>
        <w:t>.</w:t>
      </w:r>
    </w:p>
    <w:p w14:paraId="5F702DE5" w14:textId="77777777" w:rsidR="001E7CAC" w:rsidRDefault="00E001A0" w:rsidP="00E001A0">
      <w:pPr>
        <w:pStyle w:val="BodyText"/>
        <w:spacing w:after="220"/>
      </w:pPr>
      <w:r>
        <w:t xml:space="preserve">Current understanding of the biological stock structure for snapper indicates that the fish south of Kangaroo Island are likely part of the Western Victorian stock. Combined with natural ecosystem breaks including depth, </w:t>
      </w:r>
      <w:r w:rsidRPr="00422C94">
        <w:t xml:space="preserve">habitat and connectivity </w:t>
      </w:r>
      <w:r>
        <w:t>it was determined that it i</w:t>
      </w:r>
      <w:r w:rsidRPr="00422C94">
        <w:t xml:space="preserve">s </w:t>
      </w:r>
      <w:r>
        <w:t>sounder</w:t>
      </w:r>
      <w:r w:rsidRPr="00422C94">
        <w:t xml:space="preserve"> </w:t>
      </w:r>
      <w:r>
        <w:t>for</w:t>
      </w:r>
      <w:r w:rsidRPr="00422C94">
        <w:t xml:space="preserve"> MFA blocks 48 and 49 </w:t>
      </w:r>
      <w:r>
        <w:t>to be included</w:t>
      </w:r>
      <w:r w:rsidRPr="00422C94">
        <w:t xml:space="preserve"> as part of the South East zone.</w:t>
      </w:r>
    </w:p>
    <w:p w14:paraId="6D9D830E" w14:textId="77777777" w:rsidR="001E7CAC" w:rsidRDefault="001E7CAC" w:rsidP="00FF57C4">
      <w:pPr>
        <w:pStyle w:val="BodyText"/>
        <w:spacing w:after="220"/>
        <w:rPr>
          <w:rFonts w:cs="Arial"/>
          <w:b/>
        </w:rPr>
      </w:pPr>
      <w:r>
        <w:t>Most</w:t>
      </w:r>
      <w:r w:rsidR="00E001A0" w:rsidRPr="00C66ABF">
        <w:rPr>
          <w:rFonts w:cs="Arial"/>
        </w:rPr>
        <w:t xml:space="preserve"> of </w:t>
      </w:r>
      <w:r w:rsidR="00E001A0">
        <w:rPr>
          <w:rFonts w:cs="Arial"/>
        </w:rPr>
        <w:t>MFA block</w:t>
      </w:r>
      <w:r w:rsidR="00E001A0" w:rsidRPr="00C66ABF">
        <w:rPr>
          <w:rFonts w:cs="Arial"/>
        </w:rPr>
        <w:t xml:space="preserve"> 47 </w:t>
      </w:r>
      <w:r>
        <w:rPr>
          <w:rFonts w:cs="Arial"/>
        </w:rPr>
        <w:t>is</w:t>
      </w:r>
      <w:r w:rsidR="00E001A0" w:rsidRPr="00C66ABF">
        <w:rPr>
          <w:rFonts w:cs="Arial"/>
        </w:rPr>
        <w:t xml:space="preserve"> deeper off shelf water</w:t>
      </w:r>
      <w:r w:rsidR="00E001A0">
        <w:rPr>
          <w:rFonts w:cs="Arial"/>
        </w:rPr>
        <w:t xml:space="preserve">, </w:t>
      </w:r>
      <w:r>
        <w:rPr>
          <w:rFonts w:cs="Arial"/>
        </w:rPr>
        <w:t>so</w:t>
      </w:r>
      <w:r w:rsidR="00E001A0">
        <w:rPr>
          <w:rFonts w:cs="Arial"/>
        </w:rPr>
        <w:t xml:space="preserve"> </w:t>
      </w:r>
      <w:r>
        <w:rPr>
          <w:rFonts w:cs="Arial"/>
        </w:rPr>
        <w:t>was included</w:t>
      </w:r>
      <w:r w:rsidR="00E001A0">
        <w:rPr>
          <w:rFonts w:cs="Arial"/>
        </w:rPr>
        <w:t xml:space="preserve"> </w:t>
      </w:r>
      <w:r>
        <w:rPr>
          <w:rFonts w:cs="Arial"/>
        </w:rPr>
        <w:t>in</w:t>
      </w:r>
      <w:r w:rsidR="00E001A0">
        <w:rPr>
          <w:rFonts w:cs="Arial"/>
        </w:rPr>
        <w:t xml:space="preserve"> the Spencer Gulf management zone.</w:t>
      </w:r>
    </w:p>
    <w:p w14:paraId="4EB99A42" w14:textId="77777777" w:rsidR="00E001A0" w:rsidRPr="00923507" w:rsidRDefault="00E001A0" w:rsidP="00FF57C4">
      <w:pPr>
        <w:pStyle w:val="BodyText"/>
        <w:spacing w:after="220"/>
        <w:rPr>
          <w:rFonts w:cs="Arial"/>
          <w:b/>
        </w:rPr>
      </w:pPr>
      <w:r>
        <w:rPr>
          <w:rFonts w:cs="Arial"/>
          <w:b/>
        </w:rPr>
        <w:t>Do you have any comments on the proposed management zones? Complete the online feedback form.</w:t>
      </w:r>
    </w:p>
    <w:p w14:paraId="415FBEA7" w14:textId="77777777" w:rsidR="00E001A0" w:rsidRDefault="00E001A0" w:rsidP="00C81F77">
      <w:pPr>
        <w:pStyle w:val="BodyText"/>
        <w:spacing w:after="220"/>
        <w:sectPr w:rsidR="00E001A0" w:rsidSect="00E67923">
          <w:type w:val="continuous"/>
          <w:pgSz w:w="11900" w:h="16840"/>
          <w:pgMar w:top="851" w:right="851" w:bottom="1474" w:left="851" w:header="289" w:footer="454" w:gutter="0"/>
          <w:cols w:space="708"/>
          <w:titlePg/>
          <w:docGrid w:linePitch="360"/>
        </w:sectPr>
      </w:pPr>
    </w:p>
    <w:p w14:paraId="1121DCFF" w14:textId="77777777" w:rsidR="00A41BFB" w:rsidRDefault="00A41BFB" w:rsidP="0061767E">
      <w:pPr>
        <w:pStyle w:val="BodyText"/>
        <w:spacing w:after="220"/>
        <w:sectPr w:rsidR="00A41BFB" w:rsidSect="00E67923">
          <w:type w:val="continuous"/>
          <w:pgSz w:w="11900" w:h="16840"/>
          <w:pgMar w:top="851" w:right="851" w:bottom="1474" w:left="851" w:header="289" w:footer="454" w:gutter="0"/>
          <w:cols w:space="708"/>
          <w:titlePg/>
          <w:docGrid w:linePitch="360"/>
        </w:sectPr>
      </w:pPr>
    </w:p>
    <w:p w14:paraId="5B27CB52" w14:textId="77777777" w:rsidR="0061767E" w:rsidRDefault="007F45EF" w:rsidP="007F45EF">
      <w:pPr>
        <w:pStyle w:val="Heading2"/>
      </w:pPr>
      <w:bookmarkStart w:id="6" w:name="_Toc43474789"/>
      <w:r>
        <w:lastRenderedPageBreak/>
        <w:t xml:space="preserve">Marine Scalefish Fishery </w:t>
      </w:r>
      <w:r w:rsidR="0039156D">
        <w:t xml:space="preserve">proposed </w:t>
      </w:r>
      <w:r>
        <w:t>zones of management map</w:t>
      </w:r>
      <w:bookmarkEnd w:id="6"/>
    </w:p>
    <w:p w14:paraId="20AFFAD5" w14:textId="77777777" w:rsidR="00A41BFB" w:rsidRDefault="007F45EF" w:rsidP="0061767E">
      <w:pPr>
        <w:pStyle w:val="BodyText"/>
        <w:spacing w:after="220"/>
      </w:pPr>
      <w:r>
        <w:rPr>
          <w:noProof/>
          <w:lang w:val="en-AU" w:eastAsia="en-AU"/>
        </w:rPr>
        <w:drawing>
          <wp:anchor distT="0" distB="0" distL="114300" distR="114300" simplePos="0" relativeHeight="251684864" behindDoc="0" locked="0" layoutInCell="1" allowOverlap="1" wp14:anchorId="26B718E3" wp14:editId="59427DE0">
            <wp:simplePos x="0" y="0"/>
            <wp:positionH relativeFrom="column">
              <wp:posOffset>222704</wp:posOffset>
            </wp:positionH>
            <wp:positionV relativeFrom="paragraph">
              <wp:posOffset>126909</wp:posOffset>
            </wp:positionV>
            <wp:extent cx="8288684" cy="6295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01 Proposed MSF Reform Zon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8684" cy="6295232"/>
                    </a:xfrm>
                    <a:prstGeom prst="rect">
                      <a:avLst/>
                    </a:prstGeom>
                  </pic:spPr>
                </pic:pic>
              </a:graphicData>
            </a:graphic>
            <wp14:sizeRelH relativeFrom="page">
              <wp14:pctWidth>0</wp14:pctWidth>
            </wp14:sizeRelH>
            <wp14:sizeRelV relativeFrom="page">
              <wp14:pctHeight>0</wp14:pctHeight>
            </wp14:sizeRelV>
          </wp:anchor>
        </w:drawing>
      </w:r>
    </w:p>
    <w:p w14:paraId="1A368264" w14:textId="77777777" w:rsidR="00A41BFB" w:rsidRDefault="00A41BFB" w:rsidP="0061767E">
      <w:pPr>
        <w:pStyle w:val="BodyText"/>
        <w:spacing w:after="220"/>
      </w:pPr>
    </w:p>
    <w:p w14:paraId="3834F4F8" w14:textId="77777777" w:rsidR="00A41BFB" w:rsidRDefault="00A41BFB" w:rsidP="0061767E">
      <w:pPr>
        <w:pStyle w:val="BodyText"/>
        <w:spacing w:after="220"/>
      </w:pPr>
    </w:p>
    <w:p w14:paraId="62A6A23D" w14:textId="77777777" w:rsidR="00A41BFB" w:rsidRDefault="00A41BFB" w:rsidP="0061767E">
      <w:pPr>
        <w:pStyle w:val="BodyText"/>
        <w:spacing w:after="220"/>
      </w:pPr>
    </w:p>
    <w:p w14:paraId="2DAAD754" w14:textId="77777777" w:rsidR="00A41BFB" w:rsidRDefault="00A41BFB" w:rsidP="0061767E">
      <w:pPr>
        <w:pStyle w:val="BodyText"/>
        <w:spacing w:after="220"/>
      </w:pPr>
    </w:p>
    <w:p w14:paraId="0E136AD7" w14:textId="77777777" w:rsidR="00A41BFB" w:rsidRDefault="00A41BFB" w:rsidP="0061767E">
      <w:pPr>
        <w:pStyle w:val="BodyText"/>
        <w:spacing w:after="220"/>
      </w:pPr>
    </w:p>
    <w:p w14:paraId="19F66BDC" w14:textId="77777777" w:rsidR="00A41BFB" w:rsidRDefault="00A41BFB" w:rsidP="0061767E">
      <w:pPr>
        <w:pStyle w:val="BodyText"/>
        <w:spacing w:after="220"/>
      </w:pPr>
    </w:p>
    <w:p w14:paraId="1D94A1C7" w14:textId="77777777" w:rsidR="00A41BFB" w:rsidRDefault="00A41BFB" w:rsidP="0061767E">
      <w:pPr>
        <w:pStyle w:val="BodyText"/>
        <w:spacing w:after="220"/>
      </w:pPr>
    </w:p>
    <w:p w14:paraId="6A0F1460" w14:textId="77777777" w:rsidR="00A41BFB" w:rsidRDefault="00A41BFB" w:rsidP="0061767E">
      <w:pPr>
        <w:pStyle w:val="BodyText"/>
        <w:spacing w:after="220"/>
      </w:pPr>
    </w:p>
    <w:p w14:paraId="5F8D92D8" w14:textId="77777777" w:rsidR="00A41BFB" w:rsidRDefault="00A41BFB" w:rsidP="0061767E">
      <w:pPr>
        <w:pStyle w:val="BodyText"/>
        <w:spacing w:after="220"/>
      </w:pPr>
    </w:p>
    <w:p w14:paraId="55475EDB" w14:textId="77777777" w:rsidR="00A41BFB" w:rsidRDefault="00A41BFB" w:rsidP="0061767E">
      <w:pPr>
        <w:pStyle w:val="BodyText"/>
        <w:spacing w:after="220"/>
        <w:sectPr w:rsidR="00A41BFB" w:rsidSect="00A41BFB">
          <w:pgSz w:w="16840" w:h="11900" w:orient="landscape"/>
          <w:pgMar w:top="851" w:right="851" w:bottom="851" w:left="1474" w:header="289" w:footer="454" w:gutter="0"/>
          <w:cols w:space="708"/>
          <w:titlePg/>
          <w:docGrid w:linePitch="360"/>
        </w:sectPr>
      </w:pPr>
    </w:p>
    <w:p w14:paraId="2E0ED119" w14:textId="77777777" w:rsidR="001E7CAC" w:rsidRDefault="001E7CAC" w:rsidP="001E7CAC">
      <w:pPr>
        <w:pStyle w:val="Heading1"/>
      </w:pPr>
      <w:bookmarkStart w:id="7" w:name="_Toc43474790"/>
      <w:r>
        <w:rPr>
          <w:noProof/>
          <w:lang w:val="en-AU" w:eastAsia="en-AU"/>
        </w:rPr>
        <w:lastRenderedPageBreak/>
        <w:t>Recommended biological catches</w:t>
      </w:r>
      <w:bookmarkEnd w:id="7"/>
    </w:p>
    <w:p w14:paraId="0978883F" w14:textId="77777777" w:rsidR="001E7CAC" w:rsidRDefault="001E7CAC" w:rsidP="001E7CAC">
      <w:pPr>
        <w:pStyle w:val="BodyText"/>
        <w:rPr>
          <w:szCs w:val="22"/>
        </w:rPr>
      </w:pPr>
      <w:r>
        <w:rPr>
          <w:szCs w:val="22"/>
        </w:rPr>
        <w:t>The CMSFRAC recommended SARDI develop Recommended Biological Catch</w:t>
      </w:r>
      <w:r w:rsidRPr="002B0FF2">
        <w:rPr>
          <w:szCs w:val="22"/>
        </w:rPr>
        <w:t xml:space="preserve"> </w:t>
      </w:r>
      <w:r>
        <w:rPr>
          <w:szCs w:val="22"/>
        </w:rPr>
        <w:t xml:space="preserve">(RBC) limits for priority species in each region. </w:t>
      </w:r>
    </w:p>
    <w:p w14:paraId="700F9C65" w14:textId="77777777" w:rsidR="001E7CAC" w:rsidRDefault="001E7CAC" w:rsidP="001E7CAC">
      <w:pPr>
        <w:pStyle w:val="BodyText"/>
        <w:rPr>
          <w:szCs w:val="22"/>
        </w:rPr>
      </w:pPr>
      <w:r>
        <w:rPr>
          <w:szCs w:val="22"/>
        </w:rPr>
        <w:t xml:space="preserve">The RBC limits are based on the maximum level of catch to be harvested for each stock to maximise production while avoiding overfishing. </w:t>
      </w:r>
    </w:p>
    <w:p w14:paraId="21EFC1C9" w14:textId="77777777" w:rsidR="001E7CAC" w:rsidRDefault="001E7CAC" w:rsidP="001E7CAC">
      <w:pPr>
        <w:pStyle w:val="BodyText"/>
        <w:rPr>
          <w:rFonts w:cs="Arial"/>
        </w:rPr>
      </w:pPr>
      <w:r>
        <w:rPr>
          <w:szCs w:val="22"/>
        </w:rPr>
        <w:t>The indicative catches have been informed by latest stock assessments along with the best available data from</w:t>
      </w:r>
      <w:r w:rsidRPr="00F875DE">
        <w:rPr>
          <w:szCs w:val="22"/>
        </w:rPr>
        <w:t xml:space="preserve"> recreational fishing survey</w:t>
      </w:r>
      <w:r>
        <w:rPr>
          <w:szCs w:val="22"/>
        </w:rPr>
        <w:t xml:space="preserve">s. </w:t>
      </w:r>
      <w:r w:rsidRPr="002B0FF2">
        <w:rPr>
          <w:rFonts w:cs="Arial"/>
        </w:rPr>
        <w:t xml:space="preserve">A 1% allocation has been provided to the </w:t>
      </w:r>
      <w:r>
        <w:rPr>
          <w:rFonts w:cs="Arial"/>
        </w:rPr>
        <w:t>Aboriginal Traditional</w:t>
      </w:r>
      <w:r w:rsidRPr="002B0FF2">
        <w:rPr>
          <w:rFonts w:cs="Arial"/>
        </w:rPr>
        <w:t xml:space="preserve"> sector as per the current allocation in the MSF management plan.</w:t>
      </w:r>
    </w:p>
    <w:p w14:paraId="05E9EF80" w14:textId="77777777" w:rsidR="001E7CAC" w:rsidRPr="00343BFB" w:rsidRDefault="001E7CAC" w:rsidP="001E7CAC">
      <w:pPr>
        <w:pStyle w:val="BodyText"/>
        <w:rPr>
          <w:rFonts w:cs="Arial"/>
        </w:rPr>
      </w:pPr>
      <w:r>
        <w:rPr>
          <w:rFonts w:cs="Arial"/>
        </w:rPr>
        <w:t xml:space="preserve">The RBC for each species is </w:t>
      </w:r>
      <w:r w:rsidRPr="00256241">
        <w:rPr>
          <w:rFonts w:cs="Arial"/>
        </w:rPr>
        <w:t xml:space="preserve">dependent on current levels of biomass and will be adjusted over time depending on the outcomes of </w:t>
      </w:r>
      <w:r>
        <w:rPr>
          <w:rFonts w:cs="Arial"/>
        </w:rPr>
        <w:t>future</w:t>
      </w:r>
      <w:r w:rsidRPr="00256241">
        <w:rPr>
          <w:rFonts w:cs="Arial"/>
        </w:rPr>
        <w:t xml:space="preserve"> stock assessments.</w:t>
      </w:r>
    </w:p>
    <w:p w14:paraId="7A95ACCE" w14:textId="77777777" w:rsidR="001E7CAC" w:rsidRDefault="001E7CAC" w:rsidP="001E7CAC">
      <w:pPr>
        <w:pStyle w:val="Heading2"/>
      </w:pPr>
      <w:bookmarkStart w:id="8" w:name="_Toc43474791"/>
      <w:r>
        <w:t>Indicative TACC</w:t>
      </w:r>
      <w:bookmarkEnd w:id="8"/>
    </w:p>
    <w:p w14:paraId="5B135A96" w14:textId="77777777" w:rsidR="00F92564" w:rsidRDefault="001E7CAC" w:rsidP="001E7CAC">
      <w:pPr>
        <w:pStyle w:val="BodyText"/>
        <w:rPr>
          <w:rFonts w:cs="Arial"/>
        </w:rPr>
      </w:pPr>
      <w:r>
        <w:rPr>
          <w:rFonts w:cs="Arial"/>
        </w:rPr>
        <w:t xml:space="preserve">Indicative </w:t>
      </w:r>
      <w:r w:rsidRPr="00343BFB">
        <w:rPr>
          <w:rFonts w:cs="Arial"/>
        </w:rPr>
        <w:t>RBCs</w:t>
      </w:r>
      <w:r>
        <w:rPr>
          <w:rFonts w:cs="Arial"/>
        </w:rPr>
        <w:t xml:space="preserve"> and TACCs</w:t>
      </w:r>
      <w:r w:rsidRPr="00343BFB">
        <w:rPr>
          <w:rFonts w:cs="Arial"/>
        </w:rPr>
        <w:t xml:space="preserve"> have been determined for King George whiting, </w:t>
      </w:r>
      <w:r>
        <w:rPr>
          <w:rFonts w:cs="Arial"/>
        </w:rPr>
        <w:t xml:space="preserve">southern </w:t>
      </w:r>
      <w:r w:rsidRPr="00343BFB">
        <w:rPr>
          <w:rFonts w:cs="Arial"/>
        </w:rPr>
        <w:t xml:space="preserve">garfish and </w:t>
      </w:r>
      <w:r>
        <w:rPr>
          <w:rFonts w:cs="Arial"/>
        </w:rPr>
        <w:t xml:space="preserve">southern </w:t>
      </w:r>
      <w:r w:rsidRPr="00343BFB">
        <w:rPr>
          <w:rFonts w:cs="Arial"/>
        </w:rPr>
        <w:t xml:space="preserve">calamari within each of the four management zones. </w:t>
      </w:r>
    </w:p>
    <w:p w14:paraId="10872129" w14:textId="77777777" w:rsidR="001E7CAC" w:rsidRDefault="001E7CAC" w:rsidP="001E7CAC">
      <w:pPr>
        <w:pStyle w:val="BodyText"/>
        <w:rPr>
          <w:rFonts w:cs="Arial"/>
        </w:rPr>
      </w:pPr>
      <w:r>
        <w:rPr>
          <w:rFonts w:cs="Arial"/>
        </w:rPr>
        <w:t xml:space="preserve">Note, </w:t>
      </w:r>
      <w:r w:rsidRPr="00343BFB">
        <w:rPr>
          <w:rFonts w:cs="Arial"/>
        </w:rPr>
        <w:t xml:space="preserve">snapper </w:t>
      </w:r>
      <w:r>
        <w:rPr>
          <w:rFonts w:cs="Arial"/>
        </w:rPr>
        <w:t>information is</w:t>
      </w:r>
      <w:r w:rsidRPr="00343BFB">
        <w:rPr>
          <w:rFonts w:cs="Arial"/>
        </w:rPr>
        <w:t xml:space="preserve"> yet to be determined as the sup</w:t>
      </w:r>
      <w:bookmarkStart w:id="9" w:name="_GoBack"/>
      <w:bookmarkEnd w:id="9"/>
      <w:r w:rsidRPr="00343BFB">
        <w:rPr>
          <w:rFonts w:cs="Arial"/>
        </w:rPr>
        <w:t>porting stock assessment is still being finalised.</w:t>
      </w:r>
      <w:r>
        <w:rPr>
          <w:rFonts w:cs="Arial"/>
        </w:rPr>
        <w:t xml:space="preserve"> </w:t>
      </w:r>
    </w:p>
    <w:p w14:paraId="2B0FCE41" w14:textId="77777777" w:rsidR="001E7CAC" w:rsidRPr="00384A3E" w:rsidRDefault="001E7CAC" w:rsidP="001E7CAC">
      <w:pPr>
        <w:rPr>
          <w:lang w:val="en-US" w:eastAsia="ja-JP"/>
        </w:rPr>
      </w:pPr>
    </w:p>
    <w:tbl>
      <w:tblPr>
        <w:tblStyle w:val="TableGrid"/>
        <w:tblW w:w="10172" w:type="dxa"/>
        <w:tblLook w:val="04A0" w:firstRow="1" w:lastRow="0" w:firstColumn="1" w:lastColumn="0" w:noHBand="0" w:noVBand="1"/>
      </w:tblPr>
      <w:tblGrid>
        <w:gridCol w:w="1244"/>
        <w:gridCol w:w="1875"/>
        <w:gridCol w:w="223"/>
        <w:gridCol w:w="358"/>
        <w:gridCol w:w="1644"/>
        <w:gridCol w:w="223"/>
        <w:gridCol w:w="324"/>
        <w:gridCol w:w="1678"/>
        <w:gridCol w:w="173"/>
        <w:gridCol w:w="50"/>
        <w:gridCol w:w="225"/>
        <w:gridCol w:w="1906"/>
        <w:gridCol w:w="225"/>
        <w:gridCol w:w="24"/>
      </w:tblGrid>
      <w:tr w:rsidR="00AB329D" w:rsidRPr="003B0BD2" w14:paraId="0DAA29BE" w14:textId="1719D3E7" w:rsidTr="00FD3837">
        <w:trPr>
          <w:trHeight w:val="737"/>
        </w:trPr>
        <w:tc>
          <w:tcPr>
            <w:tcW w:w="1244" w:type="dxa"/>
            <w:tcBorders>
              <w:top w:val="nil"/>
              <w:left w:val="nil"/>
              <w:bottom w:val="nil"/>
              <w:right w:val="nil"/>
            </w:tcBorders>
            <w:shd w:val="clear" w:color="auto" w:fill="00427A"/>
          </w:tcPr>
          <w:p w14:paraId="18685B79" w14:textId="77777777" w:rsidR="0089299B" w:rsidRPr="003B0BD2" w:rsidRDefault="0089299B" w:rsidP="00FF57C4">
            <w:pPr>
              <w:rPr>
                <w:b/>
                <w:sz w:val="24"/>
                <w:szCs w:val="24"/>
              </w:rPr>
            </w:pPr>
          </w:p>
        </w:tc>
        <w:tc>
          <w:tcPr>
            <w:tcW w:w="1875" w:type="dxa"/>
            <w:tcBorders>
              <w:top w:val="nil"/>
              <w:left w:val="nil"/>
              <w:bottom w:val="nil"/>
              <w:right w:val="nil"/>
            </w:tcBorders>
            <w:shd w:val="clear" w:color="auto" w:fill="00427A"/>
          </w:tcPr>
          <w:p w14:paraId="7689EBD9" w14:textId="77777777" w:rsidR="0089299B" w:rsidRPr="003B0BD2" w:rsidRDefault="0089299B" w:rsidP="00FF57C4">
            <w:pPr>
              <w:rPr>
                <w:b/>
                <w:sz w:val="24"/>
                <w:szCs w:val="24"/>
              </w:rPr>
            </w:pPr>
            <w:r>
              <w:rPr>
                <w:b/>
                <w:sz w:val="24"/>
                <w:szCs w:val="24"/>
              </w:rPr>
              <w:t>King George Whiting (T)</w:t>
            </w:r>
          </w:p>
        </w:tc>
        <w:tc>
          <w:tcPr>
            <w:tcW w:w="223" w:type="dxa"/>
            <w:tcBorders>
              <w:top w:val="nil"/>
              <w:left w:val="nil"/>
              <w:bottom w:val="nil"/>
              <w:right w:val="nil"/>
            </w:tcBorders>
            <w:shd w:val="clear" w:color="auto" w:fill="00427A"/>
          </w:tcPr>
          <w:p w14:paraId="4E989A5E" w14:textId="77777777" w:rsidR="0089299B" w:rsidRDefault="0089299B" w:rsidP="00FF57C4">
            <w:pPr>
              <w:rPr>
                <w:b/>
                <w:sz w:val="24"/>
              </w:rPr>
            </w:pPr>
          </w:p>
        </w:tc>
        <w:tc>
          <w:tcPr>
            <w:tcW w:w="2002" w:type="dxa"/>
            <w:gridSpan w:val="2"/>
            <w:tcBorders>
              <w:top w:val="nil"/>
              <w:left w:val="nil"/>
              <w:bottom w:val="nil"/>
              <w:right w:val="nil"/>
            </w:tcBorders>
            <w:shd w:val="clear" w:color="auto" w:fill="00427A"/>
          </w:tcPr>
          <w:p w14:paraId="2429DB32" w14:textId="0BBF8D33" w:rsidR="0089299B" w:rsidRPr="003B0BD2" w:rsidRDefault="0089299B" w:rsidP="00FF57C4">
            <w:pPr>
              <w:rPr>
                <w:b/>
                <w:sz w:val="24"/>
                <w:szCs w:val="24"/>
              </w:rPr>
            </w:pPr>
            <w:r>
              <w:rPr>
                <w:b/>
                <w:sz w:val="24"/>
                <w:szCs w:val="24"/>
              </w:rPr>
              <w:t>Snapper (T)</w:t>
            </w:r>
          </w:p>
        </w:tc>
        <w:tc>
          <w:tcPr>
            <w:tcW w:w="223" w:type="dxa"/>
            <w:tcBorders>
              <w:top w:val="nil"/>
              <w:left w:val="nil"/>
              <w:bottom w:val="nil"/>
              <w:right w:val="nil"/>
            </w:tcBorders>
            <w:shd w:val="clear" w:color="auto" w:fill="00427A"/>
          </w:tcPr>
          <w:p w14:paraId="45E4089D" w14:textId="77777777" w:rsidR="0089299B" w:rsidRDefault="0089299B" w:rsidP="00FF57C4">
            <w:pPr>
              <w:rPr>
                <w:b/>
                <w:sz w:val="24"/>
              </w:rPr>
            </w:pPr>
          </w:p>
        </w:tc>
        <w:tc>
          <w:tcPr>
            <w:tcW w:w="2002" w:type="dxa"/>
            <w:gridSpan w:val="2"/>
            <w:tcBorders>
              <w:top w:val="nil"/>
              <w:left w:val="nil"/>
              <w:bottom w:val="nil"/>
              <w:right w:val="nil"/>
            </w:tcBorders>
            <w:shd w:val="clear" w:color="auto" w:fill="00427A"/>
          </w:tcPr>
          <w:p w14:paraId="74CACE46" w14:textId="62F7577C" w:rsidR="0089299B" w:rsidRPr="003B0BD2" w:rsidRDefault="0089299B" w:rsidP="00FF57C4">
            <w:pPr>
              <w:rPr>
                <w:b/>
                <w:sz w:val="24"/>
                <w:szCs w:val="24"/>
              </w:rPr>
            </w:pPr>
            <w:r>
              <w:rPr>
                <w:b/>
                <w:sz w:val="24"/>
                <w:szCs w:val="24"/>
              </w:rPr>
              <w:t>Southern Garfish (T)</w:t>
            </w:r>
          </w:p>
        </w:tc>
        <w:tc>
          <w:tcPr>
            <w:tcW w:w="223" w:type="dxa"/>
            <w:gridSpan w:val="2"/>
            <w:tcBorders>
              <w:top w:val="nil"/>
              <w:left w:val="nil"/>
              <w:bottom w:val="nil"/>
              <w:right w:val="nil"/>
            </w:tcBorders>
            <w:shd w:val="clear" w:color="auto" w:fill="00427A"/>
          </w:tcPr>
          <w:p w14:paraId="52B7630A" w14:textId="77777777" w:rsidR="0089299B" w:rsidRDefault="0089299B" w:rsidP="00FF57C4">
            <w:pPr>
              <w:rPr>
                <w:b/>
                <w:sz w:val="24"/>
              </w:rPr>
            </w:pPr>
          </w:p>
        </w:tc>
        <w:tc>
          <w:tcPr>
            <w:tcW w:w="2131" w:type="dxa"/>
            <w:gridSpan w:val="2"/>
            <w:tcBorders>
              <w:top w:val="nil"/>
              <w:left w:val="nil"/>
              <w:bottom w:val="nil"/>
              <w:right w:val="nil"/>
            </w:tcBorders>
            <w:shd w:val="clear" w:color="auto" w:fill="00427A"/>
          </w:tcPr>
          <w:p w14:paraId="23584DB7" w14:textId="60A27034" w:rsidR="0089299B" w:rsidRPr="003B0BD2" w:rsidRDefault="0089299B" w:rsidP="00FF57C4">
            <w:pPr>
              <w:rPr>
                <w:b/>
                <w:sz w:val="24"/>
                <w:szCs w:val="24"/>
              </w:rPr>
            </w:pPr>
            <w:r>
              <w:rPr>
                <w:b/>
                <w:sz w:val="24"/>
                <w:szCs w:val="24"/>
              </w:rPr>
              <w:t>Southern Calamari (T)</w:t>
            </w:r>
          </w:p>
        </w:tc>
        <w:tc>
          <w:tcPr>
            <w:tcW w:w="249" w:type="dxa"/>
            <w:gridSpan w:val="2"/>
            <w:tcBorders>
              <w:top w:val="nil"/>
              <w:left w:val="nil"/>
              <w:bottom w:val="nil"/>
              <w:right w:val="nil"/>
            </w:tcBorders>
            <w:shd w:val="clear" w:color="auto" w:fill="00427A"/>
          </w:tcPr>
          <w:p w14:paraId="54E30E0C" w14:textId="77777777" w:rsidR="0089299B" w:rsidRDefault="0089299B" w:rsidP="00FF57C4">
            <w:pPr>
              <w:rPr>
                <w:b/>
                <w:sz w:val="24"/>
              </w:rPr>
            </w:pPr>
          </w:p>
        </w:tc>
      </w:tr>
      <w:tr w:rsidR="00AB329D" w14:paraId="1B2A8AA5" w14:textId="259EC6FD" w:rsidTr="00FD3837">
        <w:trPr>
          <w:cantSplit/>
          <w:trHeight w:val="1247"/>
        </w:trPr>
        <w:tc>
          <w:tcPr>
            <w:tcW w:w="1244" w:type="dxa"/>
            <w:tcBorders>
              <w:top w:val="nil"/>
              <w:left w:val="nil"/>
              <w:bottom w:val="nil"/>
              <w:right w:val="nil"/>
            </w:tcBorders>
            <w:shd w:val="clear" w:color="auto" w:fill="808080"/>
          </w:tcPr>
          <w:p w14:paraId="541023B5" w14:textId="77777777" w:rsidR="00D0764B" w:rsidRPr="003B0BD2" w:rsidRDefault="00D0764B" w:rsidP="00D0764B">
            <w:pPr>
              <w:rPr>
                <w:b/>
                <w:color w:val="FFFFFF" w:themeColor="background1"/>
                <w:szCs w:val="22"/>
              </w:rPr>
            </w:pPr>
          </w:p>
        </w:tc>
        <w:tc>
          <w:tcPr>
            <w:tcW w:w="1875" w:type="dxa"/>
            <w:tcBorders>
              <w:top w:val="nil"/>
              <w:left w:val="nil"/>
              <w:bottom w:val="nil"/>
              <w:right w:val="nil"/>
            </w:tcBorders>
            <w:shd w:val="clear" w:color="auto" w:fill="808080"/>
            <w:textDirection w:val="btLr"/>
          </w:tcPr>
          <w:p w14:paraId="48FA8FE6" w14:textId="77777777" w:rsidR="00D0764B" w:rsidRDefault="00D0764B" w:rsidP="00D0764B">
            <w:pPr>
              <w:pStyle w:val="BodyText"/>
              <w:ind w:left="113" w:right="113"/>
              <w:rPr>
                <w:b/>
                <w:color w:val="FFFFFF" w:themeColor="background1"/>
              </w:rPr>
            </w:pPr>
            <w:r w:rsidRPr="00F93240">
              <w:rPr>
                <w:b/>
                <w:color w:val="FFFFFF" w:themeColor="background1"/>
              </w:rPr>
              <w:t>RB</w:t>
            </w:r>
            <w:r>
              <w:rPr>
                <w:b/>
                <w:color w:val="FFFFFF" w:themeColor="background1"/>
              </w:rPr>
              <w:t>C</w:t>
            </w:r>
          </w:p>
          <w:p w14:paraId="3EDB9B9A" w14:textId="06842923" w:rsidR="00D0764B" w:rsidRDefault="00D0764B" w:rsidP="00D0764B">
            <w:pPr>
              <w:pStyle w:val="BodyText"/>
              <w:ind w:left="113" w:right="113"/>
              <w:jc w:val="both"/>
              <w:rPr>
                <w:b/>
                <w:color w:val="FFFFFF" w:themeColor="background1"/>
              </w:rPr>
            </w:pPr>
            <w:r w:rsidRPr="00F93240">
              <w:rPr>
                <w:b/>
                <w:color w:val="FFFFFF" w:themeColor="background1"/>
              </w:rPr>
              <w:t>TACC</w:t>
            </w:r>
          </w:p>
          <w:p w14:paraId="0A36ADC0" w14:textId="22BCC4EE" w:rsidR="00D0764B" w:rsidRPr="0089299B" w:rsidRDefault="00D0764B" w:rsidP="00D0764B">
            <w:pPr>
              <w:pStyle w:val="BodyText"/>
              <w:ind w:left="113" w:right="113"/>
              <w:jc w:val="both"/>
              <w:rPr>
                <w:b/>
                <w:color w:val="FFFFFF" w:themeColor="background1"/>
              </w:rPr>
            </w:pPr>
            <w:r>
              <w:rPr>
                <w:b/>
                <w:color w:val="FFFFFF" w:themeColor="background1"/>
              </w:rPr>
              <w:t>3YR AVG*</w:t>
            </w:r>
          </w:p>
        </w:tc>
        <w:tc>
          <w:tcPr>
            <w:tcW w:w="223" w:type="dxa"/>
            <w:tcBorders>
              <w:top w:val="nil"/>
              <w:left w:val="nil"/>
              <w:bottom w:val="nil"/>
              <w:right w:val="nil"/>
            </w:tcBorders>
            <w:shd w:val="clear" w:color="auto" w:fill="808080"/>
          </w:tcPr>
          <w:p w14:paraId="3BCCD7FE" w14:textId="77777777" w:rsidR="00D0764B" w:rsidRPr="00F93240" w:rsidRDefault="00D0764B" w:rsidP="00D0764B">
            <w:pPr>
              <w:pStyle w:val="BodyText"/>
              <w:rPr>
                <w:b/>
                <w:color w:val="FFFFFF" w:themeColor="background1"/>
              </w:rPr>
            </w:pPr>
          </w:p>
        </w:tc>
        <w:tc>
          <w:tcPr>
            <w:tcW w:w="2002" w:type="dxa"/>
            <w:gridSpan w:val="2"/>
            <w:tcBorders>
              <w:top w:val="nil"/>
              <w:left w:val="nil"/>
              <w:bottom w:val="nil"/>
              <w:right w:val="nil"/>
            </w:tcBorders>
            <w:shd w:val="clear" w:color="auto" w:fill="808080"/>
            <w:textDirection w:val="btLr"/>
          </w:tcPr>
          <w:p w14:paraId="40701C58" w14:textId="77777777" w:rsidR="00D0764B" w:rsidRDefault="00D0764B" w:rsidP="00D0764B">
            <w:pPr>
              <w:pStyle w:val="BodyText"/>
              <w:ind w:left="113" w:right="113"/>
              <w:rPr>
                <w:b/>
                <w:color w:val="FFFFFF" w:themeColor="background1"/>
              </w:rPr>
            </w:pPr>
            <w:r w:rsidRPr="00F93240">
              <w:rPr>
                <w:b/>
                <w:color w:val="FFFFFF" w:themeColor="background1"/>
              </w:rPr>
              <w:t>RB</w:t>
            </w:r>
            <w:r>
              <w:rPr>
                <w:b/>
                <w:color w:val="FFFFFF" w:themeColor="background1"/>
              </w:rPr>
              <w:t>C</w:t>
            </w:r>
          </w:p>
          <w:p w14:paraId="27FC3D87" w14:textId="77777777" w:rsidR="00D0764B" w:rsidRDefault="00D0764B" w:rsidP="00D0764B">
            <w:pPr>
              <w:pStyle w:val="BodyText"/>
              <w:ind w:left="113" w:right="113"/>
              <w:jc w:val="both"/>
              <w:rPr>
                <w:b/>
                <w:color w:val="FFFFFF" w:themeColor="background1"/>
              </w:rPr>
            </w:pPr>
            <w:r w:rsidRPr="00F93240">
              <w:rPr>
                <w:b/>
                <w:color w:val="FFFFFF" w:themeColor="background1"/>
              </w:rPr>
              <w:t>TACC</w:t>
            </w:r>
          </w:p>
          <w:p w14:paraId="6EB44DCD" w14:textId="086FCD24" w:rsidR="00D0764B" w:rsidRDefault="00E44445" w:rsidP="00D0764B">
            <w:pPr>
              <w:pStyle w:val="BodyText"/>
            </w:pPr>
            <w:r>
              <w:rPr>
                <w:b/>
                <w:color w:val="FFFFFF" w:themeColor="background1"/>
              </w:rPr>
              <w:t xml:space="preserve">  </w:t>
            </w:r>
            <w:r w:rsidR="00D0764B">
              <w:rPr>
                <w:b/>
                <w:color w:val="FFFFFF" w:themeColor="background1"/>
              </w:rPr>
              <w:t xml:space="preserve">3YR </w:t>
            </w:r>
            <w:r w:rsidR="00AB329D">
              <w:rPr>
                <w:b/>
                <w:color w:val="FFFFFF" w:themeColor="background1"/>
              </w:rPr>
              <w:br/>
              <w:t xml:space="preserve">  </w:t>
            </w:r>
            <w:r w:rsidR="00D0764B">
              <w:rPr>
                <w:b/>
                <w:color w:val="FFFFFF" w:themeColor="background1"/>
              </w:rPr>
              <w:t>AVG*</w:t>
            </w:r>
          </w:p>
        </w:tc>
        <w:tc>
          <w:tcPr>
            <w:tcW w:w="223" w:type="dxa"/>
            <w:tcBorders>
              <w:top w:val="nil"/>
              <w:left w:val="nil"/>
              <w:bottom w:val="nil"/>
              <w:right w:val="nil"/>
            </w:tcBorders>
            <w:shd w:val="clear" w:color="auto" w:fill="808080"/>
          </w:tcPr>
          <w:p w14:paraId="0DDCDEF7" w14:textId="77777777" w:rsidR="00D0764B" w:rsidRPr="00F93240" w:rsidRDefault="00D0764B" w:rsidP="00D0764B">
            <w:pPr>
              <w:pStyle w:val="BodyText"/>
              <w:rPr>
                <w:b/>
                <w:color w:val="FFFFFF" w:themeColor="background1"/>
              </w:rPr>
            </w:pPr>
          </w:p>
        </w:tc>
        <w:tc>
          <w:tcPr>
            <w:tcW w:w="2002" w:type="dxa"/>
            <w:gridSpan w:val="2"/>
            <w:tcBorders>
              <w:top w:val="nil"/>
              <w:left w:val="nil"/>
              <w:bottom w:val="nil"/>
              <w:right w:val="nil"/>
            </w:tcBorders>
            <w:shd w:val="clear" w:color="auto" w:fill="808080"/>
            <w:textDirection w:val="btLr"/>
          </w:tcPr>
          <w:p w14:paraId="426CD539" w14:textId="77777777" w:rsidR="00D0764B" w:rsidRDefault="00D0764B" w:rsidP="00D0764B">
            <w:pPr>
              <w:pStyle w:val="BodyText"/>
              <w:ind w:left="113" w:right="113"/>
              <w:rPr>
                <w:b/>
                <w:color w:val="FFFFFF" w:themeColor="background1"/>
              </w:rPr>
            </w:pPr>
            <w:r w:rsidRPr="00F93240">
              <w:rPr>
                <w:b/>
                <w:color w:val="FFFFFF" w:themeColor="background1"/>
              </w:rPr>
              <w:t>RB</w:t>
            </w:r>
            <w:r>
              <w:rPr>
                <w:b/>
                <w:color w:val="FFFFFF" w:themeColor="background1"/>
              </w:rPr>
              <w:t>C</w:t>
            </w:r>
          </w:p>
          <w:p w14:paraId="643CB908" w14:textId="77777777" w:rsidR="00D0764B" w:rsidRDefault="00D0764B" w:rsidP="00D0764B">
            <w:pPr>
              <w:pStyle w:val="BodyText"/>
              <w:ind w:left="113" w:right="113"/>
              <w:jc w:val="both"/>
              <w:rPr>
                <w:b/>
                <w:color w:val="FFFFFF" w:themeColor="background1"/>
              </w:rPr>
            </w:pPr>
            <w:r w:rsidRPr="00F93240">
              <w:rPr>
                <w:b/>
                <w:color w:val="FFFFFF" w:themeColor="background1"/>
              </w:rPr>
              <w:t>TACC</w:t>
            </w:r>
          </w:p>
          <w:p w14:paraId="1619B460" w14:textId="7A2E5F63" w:rsidR="00D0764B" w:rsidRDefault="00E44445" w:rsidP="00D0764B">
            <w:pPr>
              <w:pStyle w:val="BodyText"/>
            </w:pPr>
            <w:r>
              <w:rPr>
                <w:b/>
                <w:color w:val="FFFFFF" w:themeColor="background1"/>
              </w:rPr>
              <w:t xml:space="preserve">  </w:t>
            </w:r>
            <w:r w:rsidR="00D0764B">
              <w:rPr>
                <w:b/>
                <w:color w:val="FFFFFF" w:themeColor="background1"/>
              </w:rPr>
              <w:t>3YR</w:t>
            </w:r>
            <w:r w:rsidR="0070713B">
              <w:rPr>
                <w:b/>
                <w:color w:val="FFFFFF" w:themeColor="background1"/>
              </w:rPr>
              <w:br/>
              <w:t xml:space="preserve"> </w:t>
            </w:r>
            <w:r w:rsidR="00D0764B">
              <w:rPr>
                <w:b/>
                <w:color w:val="FFFFFF" w:themeColor="background1"/>
              </w:rPr>
              <w:t xml:space="preserve"> AVG*</w:t>
            </w:r>
          </w:p>
        </w:tc>
        <w:tc>
          <w:tcPr>
            <w:tcW w:w="223" w:type="dxa"/>
            <w:gridSpan w:val="2"/>
            <w:tcBorders>
              <w:top w:val="nil"/>
              <w:left w:val="nil"/>
              <w:bottom w:val="nil"/>
              <w:right w:val="nil"/>
            </w:tcBorders>
            <w:shd w:val="clear" w:color="auto" w:fill="808080"/>
          </w:tcPr>
          <w:p w14:paraId="466223D1" w14:textId="77777777" w:rsidR="00D0764B" w:rsidRPr="00F93240" w:rsidRDefault="00D0764B" w:rsidP="00D0764B">
            <w:pPr>
              <w:pStyle w:val="BodyText"/>
              <w:rPr>
                <w:b/>
                <w:color w:val="FFFFFF" w:themeColor="background1"/>
              </w:rPr>
            </w:pPr>
          </w:p>
        </w:tc>
        <w:tc>
          <w:tcPr>
            <w:tcW w:w="2131" w:type="dxa"/>
            <w:gridSpan w:val="2"/>
            <w:tcBorders>
              <w:top w:val="nil"/>
              <w:left w:val="nil"/>
              <w:bottom w:val="nil"/>
              <w:right w:val="nil"/>
            </w:tcBorders>
            <w:shd w:val="clear" w:color="auto" w:fill="808080"/>
            <w:textDirection w:val="btLr"/>
          </w:tcPr>
          <w:p w14:paraId="704E4EB2" w14:textId="77777777" w:rsidR="00D0764B" w:rsidRDefault="00D0764B" w:rsidP="00D0764B">
            <w:pPr>
              <w:pStyle w:val="BodyText"/>
              <w:ind w:left="113" w:right="113"/>
              <w:rPr>
                <w:b/>
                <w:color w:val="FFFFFF" w:themeColor="background1"/>
              </w:rPr>
            </w:pPr>
            <w:r w:rsidRPr="00F93240">
              <w:rPr>
                <w:b/>
                <w:color w:val="FFFFFF" w:themeColor="background1"/>
              </w:rPr>
              <w:t>RB</w:t>
            </w:r>
            <w:r>
              <w:rPr>
                <w:b/>
                <w:color w:val="FFFFFF" w:themeColor="background1"/>
              </w:rPr>
              <w:t>C</w:t>
            </w:r>
          </w:p>
          <w:p w14:paraId="072DF6E2" w14:textId="77777777" w:rsidR="00D0764B" w:rsidRDefault="00D0764B" w:rsidP="00D0764B">
            <w:pPr>
              <w:pStyle w:val="BodyText"/>
              <w:ind w:left="113" w:right="113"/>
              <w:jc w:val="both"/>
              <w:rPr>
                <w:b/>
                <w:color w:val="FFFFFF" w:themeColor="background1"/>
              </w:rPr>
            </w:pPr>
            <w:r w:rsidRPr="00F93240">
              <w:rPr>
                <w:b/>
                <w:color w:val="FFFFFF" w:themeColor="background1"/>
              </w:rPr>
              <w:t>TACC</w:t>
            </w:r>
          </w:p>
          <w:p w14:paraId="732986F0" w14:textId="3DF6924C" w:rsidR="00D0764B" w:rsidRDefault="00E44445" w:rsidP="00D0764B">
            <w:pPr>
              <w:pStyle w:val="BodyText"/>
            </w:pPr>
            <w:r>
              <w:rPr>
                <w:b/>
                <w:color w:val="FFFFFF" w:themeColor="background1"/>
              </w:rPr>
              <w:t xml:space="preserve">  </w:t>
            </w:r>
            <w:r w:rsidR="00D0764B">
              <w:rPr>
                <w:b/>
                <w:color w:val="FFFFFF" w:themeColor="background1"/>
              </w:rPr>
              <w:t xml:space="preserve">3YR </w:t>
            </w:r>
            <w:r w:rsidR="0070713B">
              <w:rPr>
                <w:b/>
                <w:color w:val="FFFFFF" w:themeColor="background1"/>
              </w:rPr>
              <w:br/>
              <w:t xml:space="preserve">  </w:t>
            </w:r>
            <w:r w:rsidR="00D0764B">
              <w:rPr>
                <w:b/>
                <w:color w:val="FFFFFF" w:themeColor="background1"/>
              </w:rPr>
              <w:t>AVG*</w:t>
            </w:r>
          </w:p>
        </w:tc>
        <w:tc>
          <w:tcPr>
            <w:tcW w:w="249" w:type="dxa"/>
            <w:gridSpan w:val="2"/>
            <w:tcBorders>
              <w:top w:val="nil"/>
              <w:left w:val="nil"/>
              <w:bottom w:val="nil"/>
              <w:right w:val="nil"/>
            </w:tcBorders>
            <w:shd w:val="clear" w:color="auto" w:fill="808080"/>
          </w:tcPr>
          <w:p w14:paraId="5744AF93" w14:textId="77777777" w:rsidR="00D0764B" w:rsidRPr="00F93240" w:rsidRDefault="00D0764B" w:rsidP="00D0764B">
            <w:pPr>
              <w:pStyle w:val="BodyText"/>
              <w:rPr>
                <w:b/>
                <w:color w:val="FFFFFF" w:themeColor="background1"/>
              </w:rPr>
            </w:pPr>
          </w:p>
        </w:tc>
      </w:tr>
      <w:tr w:rsidR="00E44445" w14:paraId="032EFDC3" w14:textId="0110882D" w:rsidTr="00FD3837">
        <w:trPr>
          <w:gridAfter w:val="1"/>
          <w:wAfter w:w="24" w:type="dxa"/>
          <w:trHeight w:val="680"/>
        </w:trPr>
        <w:tc>
          <w:tcPr>
            <w:tcW w:w="1244" w:type="dxa"/>
            <w:tcBorders>
              <w:top w:val="nil"/>
              <w:left w:val="nil"/>
              <w:bottom w:val="nil"/>
              <w:right w:val="nil"/>
            </w:tcBorders>
            <w:shd w:val="clear" w:color="auto" w:fill="808080"/>
          </w:tcPr>
          <w:p w14:paraId="4A158D52" w14:textId="77777777" w:rsidR="00D0764B" w:rsidRPr="003B0BD2" w:rsidRDefault="00D0764B" w:rsidP="00D0764B">
            <w:pPr>
              <w:rPr>
                <w:b/>
                <w:color w:val="FFFFFF" w:themeColor="background1"/>
                <w:szCs w:val="22"/>
              </w:rPr>
            </w:pPr>
            <w:r w:rsidRPr="003B0BD2">
              <w:rPr>
                <w:b/>
                <w:color w:val="FFFFFF" w:themeColor="background1"/>
                <w:szCs w:val="22"/>
              </w:rPr>
              <w:t>West Coast</w:t>
            </w:r>
          </w:p>
        </w:tc>
        <w:tc>
          <w:tcPr>
            <w:tcW w:w="2098" w:type="dxa"/>
            <w:gridSpan w:val="2"/>
            <w:tcBorders>
              <w:top w:val="nil"/>
              <w:left w:val="nil"/>
              <w:bottom w:val="nil"/>
              <w:right w:val="single" w:sz="4" w:space="0" w:color="auto"/>
            </w:tcBorders>
            <w:shd w:val="clear" w:color="auto" w:fill="D9D9D9"/>
          </w:tcPr>
          <w:p w14:paraId="37DB512A" w14:textId="677F55BA" w:rsidR="00D0764B" w:rsidRDefault="00D0764B" w:rsidP="004E371C">
            <w:pPr>
              <w:pStyle w:val="BodyText"/>
            </w:pPr>
            <w:r>
              <w:t>672      473    93</w:t>
            </w:r>
          </w:p>
        </w:tc>
        <w:tc>
          <w:tcPr>
            <w:tcW w:w="358" w:type="dxa"/>
            <w:tcBorders>
              <w:top w:val="nil"/>
              <w:left w:val="single" w:sz="4" w:space="0" w:color="auto"/>
              <w:bottom w:val="nil"/>
              <w:right w:val="nil"/>
            </w:tcBorders>
            <w:shd w:val="clear" w:color="auto" w:fill="D9D9D9"/>
          </w:tcPr>
          <w:p w14:paraId="226340A4" w14:textId="77777777" w:rsidR="00D0764B" w:rsidRDefault="00D0764B" w:rsidP="00D0764B">
            <w:pPr>
              <w:pStyle w:val="BodyText"/>
            </w:pPr>
          </w:p>
        </w:tc>
        <w:tc>
          <w:tcPr>
            <w:tcW w:w="1867" w:type="dxa"/>
            <w:gridSpan w:val="2"/>
            <w:tcBorders>
              <w:top w:val="nil"/>
              <w:left w:val="nil"/>
              <w:bottom w:val="nil"/>
              <w:right w:val="single" w:sz="4" w:space="0" w:color="auto"/>
            </w:tcBorders>
            <w:shd w:val="clear" w:color="auto" w:fill="D9D9D9"/>
          </w:tcPr>
          <w:p w14:paraId="73C591F2" w14:textId="306AE70D" w:rsidR="00D0764B" w:rsidRDefault="00D0764B" w:rsidP="00D0764B">
            <w:pPr>
              <w:pStyle w:val="BodyText"/>
              <w:ind w:left="65"/>
            </w:pPr>
            <w:r>
              <w:t>-       -      20</w:t>
            </w:r>
          </w:p>
        </w:tc>
        <w:tc>
          <w:tcPr>
            <w:tcW w:w="324" w:type="dxa"/>
            <w:tcBorders>
              <w:top w:val="nil"/>
              <w:left w:val="single" w:sz="4" w:space="0" w:color="auto"/>
              <w:bottom w:val="nil"/>
              <w:right w:val="nil"/>
            </w:tcBorders>
            <w:shd w:val="clear" w:color="auto" w:fill="D9D9D9"/>
          </w:tcPr>
          <w:p w14:paraId="74AC68BF" w14:textId="77777777" w:rsidR="00D0764B" w:rsidRDefault="00D0764B" w:rsidP="00D0764B">
            <w:pPr>
              <w:pStyle w:val="BodyText"/>
            </w:pPr>
          </w:p>
        </w:tc>
        <w:tc>
          <w:tcPr>
            <w:tcW w:w="1851" w:type="dxa"/>
            <w:gridSpan w:val="2"/>
            <w:tcBorders>
              <w:top w:val="nil"/>
              <w:left w:val="nil"/>
              <w:bottom w:val="nil"/>
              <w:right w:val="single" w:sz="4" w:space="0" w:color="auto"/>
            </w:tcBorders>
            <w:shd w:val="clear" w:color="auto" w:fill="D9D9D9"/>
          </w:tcPr>
          <w:p w14:paraId="7D7CDB02" w14:textId="7AFA3332" w:rsidR="00D0764B" w:rsidRDefault="00E44445" w:rsidP="00E44445">
            <w:pPr>
              <w:pStyle w:val="BodyText"/>
            </w:pPr>
            <w:r>
              <w:t xml:space="preserve">14   </w:t>
            </w:r>
            <w:r w:rsidR="00D0764B">
              <w:t xml:space="preserve"> 10</w:t>
            </w:r>
            <w:r>
              <w:t xml:space="preserve">      2</w:t>
            </w:r>
          </w:p>
        </w:tc>
        <w:tc>
          <w:tcPr>
            <w:tcW w:w="275" w:type="dxa"/>
            <w:gridSpan w:val="2"/>
            <w:tcBorders>
              <w:top w:val="nil"/>
              <w:left w:val="single" w:sz="4" w:space="0" w:color="auto"/>
              <w:bottom w:val="nil"/>
              <w:right w:val="nil"/>
            </w:tcBorders>
            <w:shd w:val="clear" w:color="auto" w:fill="D9D9D9"/>
          </w:tcPr>
          <w:p w14:paraId="59F867D8" w14:textId="77777777" w:rsidR="00D0764B" w:rsidRDefault="00D0764B" w:rsidP="00D0764B">
            <w:pPr>
              <w:pStyle w:val="BodyText"/>
            </w:pPr>
          </w:p>
        </w:tc>
        <w:tc>
          <w:tcPr>
            <w:tcW w:w="1906" w:type="dxa"/>
            <w:tcBorders>
              <w:top w:val="nil"/>
              <w:left w:val="nil"/>
              <w:bottom w:val="nil"/>
              <w:right w:val="nil"/>
            </w:tcBorders>
            <w:shd w:val="clear" w:color="auto" w:fill="D9D9D9"/>
          </w:tcPr>
          <w:p w14:paraId="39EAE3B9" w14:textId="340C304A" w:rsidR="00D0764B" w:rsidRDefault="00D0764B" w:rsidP="00E44445">
            <w:pPr>
              <w:pStyle w:val="BodyText"/>
            </w:pPr>
            <w:r>
              <w:t>25      9</w:t>
            </w:r>
            <w:r w:rsidR="00E44445">
              <w:t xml:space="preserve">        9</w:t>
            </w:r>
          </w:p>
        </w:tc>
        <w:tc>
          <w:tcPr>
            <w:tcW w:w="225" w:type="dxa"/>
            <w:tcBorders>
              <w:top w:val="nil"/>
              <w:left w:val="nil"/>
              <w:bottom w:val="nil"/>
              <w:right w:val="nil"/>
            </w:tcBorders>
            <w:shd w:val="clear" w:color="auto" w:fill="D9D9D9"/>
          </w:tcPr>
          <w:p w14:paraId="7244DDCB" w14:textId="77777777" w:rsidR="00D0764B" w:rsidRDefault="00D0764B" w:rsidP="00D0764B">
            <w:pPr>
              <w:pStyle w:val="BodyText"/>
            </w:pPr>
          </w:p>
        </w:tc>
      </w:tr>
      <w:tr w:rsidR="00E44445" w14:paraId="1709D857" w14:textId="56FD9E78" w:rsidTr="00FD3837">
        <w:trPr>
          <w:gridAfter w:val="1"/>
          <w:wAfter w:w="24" w:type="dxa"/>
          <w:trHeight w:val="680"/>
        </w:trPr>
        <w:tc>
          <w:tcPr>
            <w:tcW w:w="1244" w:type="dxa"/>
            <w:tcBorders>
              <w:top w:val="nil"/>
              <w:left w:val="nil"/>
              <w:bottom w:val="nil"/>
              <w:right w:val="nil"/>
            </w:tcBorders>
            <w:shd w:val="clear" w:color="auto" w:fill="808080"/>
          </w:tcPr>
          <w:p w14:paraId="3CC9D53E" w14:textId="77777777" w:rsidR="00D0764B" w:rsidRPr="003B0BD2" w:rsidRDefault="00D0764B" w:rsidP="00D0764B">
            <w:pPr>
              <w:rPr>
                <w:b/>
                <w:color w:val="FFFFFF" w:themeColor="background1"/>
                <w:szCs w:val="22"/>
              </w:rPr>
            </w:pPr>
            <w:r>
              <w:rPr>
                <w:b/>
                <w:color w:val="FFFFFF" w:themeColor="background1"/>
                <w:szCs w:val="22"/>
              </w:rPr>
              <w:t>Spencer Gulf</w:t>
            </w:r>
          </w:p>
        </w:tc>
        <w:tc>
          <w:tcPr>
            <w:tcW w:w="2098" w:type="dxa"/>
            <w:gridSpan w:val="2"/>
            <w:tcBorders>
              <w:top w:val="nil"/>
              <w:left w:val="nil"/>
              <w:bottom w:val="nil"/>
              <w:right w:val="single" w:sz="4" w:space="0" w:color="auto"/>
            </w:tcBorders>
            <w:shd w:val="clear" w:color="auto" w:fill="E6E6E6"/>
          </w:tcPr>
          <w:p w14:paraId="2606763B" w14:textId="385BA7DF" w:rsidR="00D0764B" w:rsidRDefault="00D0764B" w:rsidP="004E371C">
            <w:pPr>
              <w:pStyle w:val="BodyText"/>
            </w:pPr>
            <w:r>
              <w:t>394      175    103</w:t>
            </w:r>
          </w:p>
        </w:tc>
        <w:tc>
          <w:tcPr>
            <w:tcW w:w="358" w:type="dxa"/>
            <w:tcBorders>
              <w:top w:val="nil"/>
              <w:left w:val="single" w:sz="4" w:space="0" w:color="auto"/>
              <w:bottom w:val="nil"/>
              <w:right w:val="nil"/>
            </w:tcBorders>
            <w:shd w:val="clear" w:color="auto" w:fill="E6E6E6"/>
          </w:tcPr>
          <w:p w14:paraId="0930D4A7" w14:textId="77777777" w:rsidR="00D0764B" w:rsidRDefault="00D0764B" w:rsidP="00D0764B">
            <w:pPr>
              <w:pStyle w:val="BodyText"/>
            </w:pPr>
          </w:p>
        </w:tc>
        <w:tc>
          <w:tcPr>
            <w:tcW w:w="1867" w:type="dxa"/>
            <w:gridSpan w:val="2"/>
            <w:tcBorders>
              <w:top w:val="nil"/>
              <w:left w:val="nil"/>
              <w:bottom w:val="nil"/>
              <w:right w:val="single" w:sz="4" w:space="0" w:color="auto"/>
            </w:tcBorders>
            <w:shd w:val="clear" w:color="auto" w:fill="E6E6E6"/>
          </w:tcPr>
          <w:p w14:paraId="60F28395" w14:textId="7A28C5F1" w:rsidR="00D0764B" w:rsidRDefault="00D0764B" w:rsidP="004E371C">
            <w:pPr>
              <w:pStyle w:val="BodyText"/>
              <w:ind w:left="65"/>
            </w:pPr>
            <w:r>
              <w:t xml:space="preserve">-       -      </w:t>
            </w:r>
            <w:r w:rsidR="004E371C">
              <w:t>52</w:t>
            </w:r>
          </w:p>
        </w:tc>
        <w:tc>
          <w:tcPr>
            <w:tcW w:w="324" w:type="dxa"/>
            <w:tcBorders>
              <w:top w:val="nil"/>
              <w:left w:val="single" w:sz="4" w:space="0" w:color="auto"/>
              <w:bottom w:val="nil"/>
              <w:right w:val="nil"/>
            </w:tcBorders>
            <w:shd w:val="clear" w:color="auto" w:fill="E6E6E6"/>
          </w:tcPr>
          <w:p w14:paraId="21B46C9B" w14:textId="77777777" w:rsidR="00D0764B" w:rsidRDefault="00D0764B" w:rsidP="00D0764B">
            <w:pPr>
              <w:pStyle w:val="BodyText"/>
            </w:pPr>
          </w:p>
        </w:tc>
        <w:tc>
          <w:tcPr>
            <w:tcW w:w="1851" w:type="dxa"/>
            <w:gridSpan w:val="2"/>
            <w:tcBorders>
              <w:top w:val="nil"/>
              <w:left w:val="nil"/>
              <w:bottom w:val="nil"/>
              <w:right w:val="single" w:sz="4" w:space="0" w:color="auto"/>
            </w:tcBorders>
            <w:shd w:val="clear" w:color="auto" w:fill="E6E6E6"/>
          </w:tcPr>
          <w:p w14:paraId="52AED647" w14:textId="4061FF95" w:rsidR="00D0764B" w:rsidRDefault="00D0764B" w:rsidP="00E44445">
            <w:pPr>
              <w:pStyle w:val="BodyText"/>
            </w:pPr>
            <w:r>
              <w:t xml:space="preserve">79   </w:t>
            </w:r>
            <w:r w:rsidR="00E44445">
              <w:t xml:space="preserve"> </w:t>
            </w:r>
            <w:r>
              <w:t xml:space="preserve"> 62</w:t>
            </w:r>
            <w:r w:rsidR="00E44445">
              <w:t xml:space="preserve">    104</w:t>
            </w:r>
          </w:p>
        </w:tc>
        <w:tc>
          <w:tcPr>
            <w:tcW w:w="275" w:type="dxa"/>
            <w:gridSpan w:val="2"/>
            <w:tcBorders>
              <w:top w:val="nil"/>
              <w:left w:val="single" w:sz="4" w:space="0" w:color="auto"/>
              <w:bottom w:val="nil"/>
              <w:right w:val="nil"/>
            </w:tcBorders>
            <w:shd w:val="clear" w:color="auto" w:fill="E6E6E6"/>
          </w:tcPr>
          <w:p w14:paraId="12349C03" w14:textId="77777777" w:rsidR="00D0764B" w:rsidRDefault="00D0764B" w:rsidP="00D0764B">
            <w:pPr>
              <w:pStyle w:val="BodyText"/>
            </w:pPr>
          </w:p>
        </w:tc>
        <w:tc>
          <w:tcPr>
            <w:tcW w:w="1906" w:type="dxa"/>
            <w:tcBorders>
              <w:top w:val="nil"/>
              <w:left w:val="nil"/>
              <w:bottom w:val="nil"/>
              <w:right w:val="nil"/>
            </w:tcBorders>
            <w:shd w:val="clear" w:color="auto" w:fill="E6E6E6"/>
          </w:tcPr>
          <w:p w14:paraId="185F31E5" w14:textId="2BD2294B" w:rsidR="00D0764B" w:rsidRDefault="00D0764B" w:rsidP="00E44445">
            <w:pPr>
              <w:pStyle w:val="BodyText"/>
            </w:pPr>
            <w:r>
              <w:t>431    266</w:t>
            </w:r>
            <w:r w:rsidR="00E44445">
              <w:t xml:space="preserve">   196</w:t>
            </w:r>
          </w:p>
        </w:tc>
        <w:tc>
          <w:tcPr>
            <w:tcW w:w="225" w:type="dxa"/>
            <w:tcBorders>
              <w:top w:val="nil"/>
              <w:left w:val="nil"/>
              <w:bottom w:val="nil"/>
              <w:right w:val="nil"/>
            </w:tcBorders>
            <w:shd w:val="clear" w:color="auto" w:fill="E6E6E6"/>
          </w:tcPr>
          <w:p w14:paraId="5AB5525C" w14:textId="77777777" w:rsidR="00D0764B" w:rsidRDefault="00D0764B" w:rsidP="00D0764B">
            <w:pPr>
              <w:pStyle w:val="BodyText"/>
            </w:pPr>
          </w:p>
        </w:tc>
      </w:tr>
      <w:tr w:rsidR="00E44445" w14:paraId="68CF9FD6" w14:textId="79257B6B" w:rsidTr="00FD3837">
        <w:trPr>
          <w:gridAfter w:val="1"/>
          <w:wAfter w:w="24" w:type="dxa"/>
          <w:trHeight w:val="680"/>
        </w:trPr>
        <w:tc>
          <w:tcPr>
            <w:tcW w:w="1244" w:type="dxa"/>
            <w:tcBorders>
              <w:top w:val="nil"/>
              <w:left w:val="nil"/>
              <w:bottom w:val="nil"/>
              <w:right w:val="nil"/>
            </w:tcBorders>
            <w:shd w:val="clear" w:color="auto" w:fill="808080"/>
          </w:tcPr>
          <w:p w14:paraId="6FBD3348" w14:textId="77777777" w:rsidR="00D0764B" w:rsidRPr="003B0BD2" w:rsidRDefault="00D0764B" w:rsidP="00D0764B">
            <w:pPr>
              <w:rPr>
                <w:b/>
                <w:color w:val="FFFFFF" w:themeColor="background1"/>
                <w:szCs w:val="22"/>
              </w:rPr>
            </w:pPr>
            <w:r w:rsidRPr="003B0BD2">
              <w:rPr>
                <w:b/>
                <w:color w:val="FFFFFF" w:themeColor="background1"/>
                <w:szCs w:val="22"/>
              </w:rPr>
              <w:t>Gulf St Vincent/ Kangaroo Island</w:t>
            </w:r>
          </w:p>
        </w:tc>
        <w:tc>
          <w:tcPr>
            <w:tcW w:w="2098" w:type="dxa"/>
            <w:gridSpan w:val="2"/>
            <w:tcBorders>
              <w:top w:val="nil"/>
              <w:left w:val="nil"/>
              <w:bottom w:val="nil"/>
              <w:right w:val="single" w:sz="4" w:space="0" w:color="auto"/>
            </w:tcBorders>
            <w:shd w:val="clear" w:color="auto" w:fill="D9D9D9"/>
          </w:tcPr>
          <w:p w14:paraId="48653B68" w14:textId="00D16EDA" w:rsidR="00D0764B" w:rsidRDefault="00E44445" w:rsidP="004E371C">
            <w:pPr>
              <w:pStyle w:val="BodyText"/>
            </w:pPr>
            <w:r>
              <w:br/>
            </w:r>
            <w:r w:rsidR="00D0764B">
              <w:t>188      76      43</w:t>
            </w:r>
          </w:p>
        </w:tc>
        <w:tc>
          <w:tcPr>
            <w:tcW w:w="358" w:type="dxa"/>
            <w:tcBorders>
              <w:top w:val="nil"/>
              <w:left w:val="single" w:sz="4" w:space="0" w:color="auto"/>
              <w:bottom w:val="nil"/>
              <w:right w:val="nil"/>
            </w:tcBorders>
            <w:shd w:val="clear" w:color="auto" w:fill="D9D9D9"/>
          </w:tcPr>
          <w:p w14:paraId="040C02C9" w14:textId="77777777" w:rsidR="00D0764B" w:rsidRDefault="00D0764B" w:rsidP="00D0764B">
            <w:pPr>
              <w:pStyle w:val="BodyText"/>
            </w:pPr>
          </w:p>
        </w:tc>
        <w:tc>
          <w:tcPr>
            <w:tcW w:w="1867" w:type="dxa"/>
            <w:gridSpan w:val="2"/>
            <w:tcBorders>
              <w:top w:val="nil"/>
              <w:left w:val="nil"/>
              <w:bottom w:val="nil"/>
              <w:right w:val="single" w:sz="4" w:space="0" w:color="auto"/>
            </w:tcBorders>
            <w:shd w:val="clear" w:color="auto" w:fill="D9D9D9"/>
          </w:tcPr>
          <w:p w14:paraId="6EA4CE22" w14:textId="54FAC7A5" w:rsidR="00D0764B" w:rsidRDefault="00E44445" w:rsidP="004E371C">
            <w:pPr>
              <w:pStyle w:val="BodyText"/>
              <w:ind w:left="65"/>
            </w:pPr>
            <w:r>
              <w:br/>
            </w:r>
            <w:r w:rsidR="00D0764B">
              <w:t xml:space="preserve">-       -      </w:t>
            </w:r>
            <w:r w:rsidR="004E371C">
              <w:t>200</w:t>
            </w:r>
          </w:p>
        </w:tc>
        <w:tc>
          <w:tcPr>
            <w:tcW w:w="324" w:type="dxa"/>
            <w:tcBorders>
              <w:top w:val="nil"/>
              <w:left w:val="single" w:sz="4" w:space="0" w:color="auto"/>
              <w:bottom w:val="nil"/>
              <w:right w:val="nil"/>
            </w:tcBorders>
            <w:shd w:val="clear" w:color="auto" w:fill="D9D9D9"/>
          </w:tcPr>
          <w:p w14:paraId="0E6B4BEC" w14:textId="77777777" w:rsidR="00D0764B" w:rsidRDefault="00D0764B" w:rsidP="00D0764B">
            <w:pPr>
              <w:pStyle w:val="BodyText"/>
            </w:pPr>
          </w:p>
        </w:tc>
        <w:tc>
          <w:tcPr>
            <w:tcW w:w="1851" w:type="dxa"/>
            <w:gridSpan w:val="2"/>
            <w:tcBorders>
              <w:top w:val="nil"/>
              <w:left w:val="nil"/>
              <w:bottom w:val="nil"/>
              <w:right w:val="single" w:sz="4" w:space="0" w:color="auto"/>
            </w:tcBorders>
            <w:shd w:val="clear" w:color="auto" w:fill="D9D9D9"/>
          </w:tcPr>
          <w:p w14:paraId="4384E7E3" w14:textId="0A51F54F" w:rsidR="00D0764B" w:rsidRDefault="00E44445" w:rsidP="00E44445">
            <w:pPr>
              <w:pStyle w:val="BodyText"/>
            </w:pPr>
            <w:r>
              <w:br/>
            </w:r>
            <w:r w:rsidR="00D0764B">
              <w:t>61     50</w:t>
            </w:r>
            <w:r>
              <w:t xml:space="preserve">     77</w:t>
            </w:r>
          </w:p>
        </w:tc>
        <w:tc>
          <w:tcPr>
            <w:tcW w:w="275" w:type="dxa"/>
            <w:gridSpan w:val="2"/>
            <w:tcBorders>
              <w:top w:val="nil"/>
              <w:left w:val="single" w:sz="4" w:space="0" w:color="auto"/>
              <w:bottom w:val="nil"/>
              <w:right w:val="nil"/>
            </w:tcBorders>
            <w:shd w:val="clear" w:color="auto" w:fill="D9D9D9"/>
          </w:tcPr>
          <w:p w14:paraId="6A27496A" w14:textId="77777777" w:rsidR="00D0764B" w:rsidRDefault="00D0764B" w:rsidP="00D0764B">
            <w:pPr>
              <w:pStyle w:val="BodyText"/>
            </w:pPr>
          </w:p>
        </w:tc>
        <w:tc>
          <w:tcPr>
            <w:tcW w:w="1906" w:type="dxa"/>
            <w:tcBorders>
              <w:top w:val="nil"/>
              <w:left w:val="nil"/>
              <w:bottom w:val="nil"/>
              <w:right w:val="nil"/>
            </w:tcBorders>
            <w:shd w:val="clear" w:color="auto" w:fill="D9D9D9"/>
          </w:tcPr>
          <w:p w14:paraId="5CC0BAEB" w14:textId="1A3A87DA" w:rsidR="00D0764B" w:rsidRDefault="00E44445" w:rsidP="00E44445">
            <w:pPr>
              <w:pStyle w:val="BodyText"/>
            </w:pPr>
            <w:r>
              <w:br/>
            </w:r>
            <w:r w:rsidR="00D0764B">
              <w:t>230    162</w:t>
            </w:r>
            <w:r>
              <w:t xml:space="preserve">    164</w:t>
            </w:r>
          </w:p>
        </w:tc>
        <w:tc>
          <w:tcPr>
            <w:tcW w:w="225" w:type="dxa"/>
            <w:tcBorders>
              <w:top w:val="nil"/>
              <w:left w:val="nil"/>
              <w:bottom w:val="nil"/>
              <w:right w:val="nil"/>
            </w:tcBorders>
            <w:shd w:val="clear" w:color="auto" w:fill="D9D9D9"/>
          </w:tcPr>
          <w:p w14:paraId="2DFCBC92" w14:textId="77777777" w:rsidR="00D0764B" w:rsidRDefault="00D0764B" w:rsidP="00D0764B">
            <w:pPr>
              <w:pStyle w:val="BodyText"/>
            </w:pPr>
          </w:p>
        </w:tc>
      </w:tr>
      <w:tr w:rsidR="00E44445" w14:paraId="01ED7C94" w14:textId="53DAFAE4" w:rsidTr="00FD3837">
        <w:trPr>
          <w:gridAfter w:val="1"/>
          <w:wAfter w:w="24" w:type="dxa"/>
          <w:trHeight w:val="680"/>
        </w:trPr>
        <w:tc>
          <w:tcPr>
            <w:tcW w:w="1244" w:type="dxa"/>
            <w:tcBorders>
              <w:top w:val="nil"/>
              <w:left w:val="nil"/>
              <w:bottom w:val="nil"/>
              <w:right w:val="nil"/>
            </w:tcBorders>
            <w:shd w:val="clear" w:color="auto" w:fill="808080"/>
          </w:tcPr>
          <w:p w14:paraId="0033C61D" w14:textId="77777777" w:rsidR="00D0764B" w:rsidRPr="003B0BD2" w:rsidRDefault="00D0764B" w:rsidP="00D0764B">
            <w:pPr>
              <w:rPr>
                <w:b/>
                <w:color w:val="FFFFFF" w:themeColor="background1"/>
                <w:szCs w:val="22"/>
              </w:rPr>
            </w:pPr>
            <w:r w:rsidRPr="003B0BD2">
              <w:rPr>
                <w:b/>
                <w:color w:val="FFFFFF" w:themeColor="background1"/>
                <w:szCs w:val="22"/>
              </w:rPr>
              <w:t>South East</w:t>
            </w:r>
          </w:p>
        </w:tc>
        <w:tc>
          <w:tcPr>
            <w:tcW w:w="2098" w:type="dxa"/>
            <w:gridSpan w:val="2"/>
            <w:tcBorders>
              <w:top w:val="nil"/>
              <w:left w:val="nil"/>
              <w:bottom w:val="nil"/>
              <w:right w:val="single" w:sz="4" w:space="0" w:color="auto"/>
            </w:tcBorders>
            <w:shd w:val="clear" w:color="auto" w:fill="E6E6E6"/>
          </w:tcPr>
          <w:p w14:paraId="5D43F331" w14:textId="6A9E4605" w:rsidR="00D0764B" w:rsidRDefault="00D0764B" w:rsidP="004E371C">
            <w:pPr>
              <w:pStyle w:val="BodyText"/>
            </w:pPr>
            <w:r>
              <w:t>10        0        0</w:t>
            </w:r>
          </w:p>
        </w:tc>
        <w:tc>
          <w:tcPr>
            <w:tcW w:w="358" w:type="dxa"/>
            <w:tcBorders>
              <w:top w:val="nil"/>
              <w:left w:val="single" w:sz="4" w:space="0" w:color="auto"/>
              <w:bottom w:val="nil"/>
              <w:right w:val="nil"/>
            </w:tcBorders>
            <w:shd w:val="clear" w:color="auto" w:fill="E6E6E6"/>
          </w:tcPr>
          <w:p w14:paraId="5E852D03" w14:textId="77777777" w:rsidR="00D0764B" w:rsidRDefault="00D0764B" w:rsidP="00D0764B">
            <w:pPr>
              <w:pStyle w:val="BodyText"/>
            </w:pPr>
          </w:p>
        </w:tc>
        <w:tc>
          <w:tcPr>
            <w:tcW w:w="1867" w:type="dxa"/>
            <w:gridSpan w:val="2"/>
            <w:tcBorders>
              <w:top w:val="nil"/>
              <w:left w:val="nil"/>
              <w:bottom w:val="nil"/>
              <w:right w:val="single" w:sz="4" w:space="0" w:color="auto"/>
            </w:tcBorders>
            <w:shd w:val="clear" w:color="auto" w:fill="E6E6E6"/>
          </w:tcPr>
          <w:p w14:paraId="12D58289" w14:textId="65E39DB0" w:rsidR="00D0764B" w:rsidRDefault="00D0764B" w:rsidP="004E371C">
            <w:pPr>
              <w:pStyle w:val="BodyText"/>
              <w:ind w:left="65"/>
            </w:pPr>
            <w:r>
              <w:t xml:space="preserve">-       -      </w:t>
            </w:r>
            <w:r w:rsidR="004E371C">
              <w:t xml:space="preserve"> 19</w:t>
            </w:r>
          </w:p>
        </w:tc>
        <w:tc>
          <w:tcPr>
            <w:tcW w:w="324" w:type="dxa"/>
            <w:tcBorders>
              <w:top w:val="nil"/>
              <w:left w:val="single" w:sz="4" w:space="0" w:color="auto"/>
              <w:bottom w:val="nil"/>
              <w:right w:val="nil"/>
            </w:tcBorders>
            <w:shd w:val="clear" w:color="auto" w:fill="E6E6E6"/>
          </w:tcPr>
          <w:p w14:paraId="1D5A4606" w14:textId="77777777" w:rsidR="00D0764B" w:rsidRDefault="00D0764B" w:rsidP="00D0764B">
            <w:pPr>
              <w:pStyle w:val="BodyText"/>
            </w:pPr>
          </w:p>
        </w:tc>
        <w:tc>
          <w:tcPr>
            <w:tcW w:w="1851" w:type="dxa"/>
            <w:gridSpan w:val="2"/>
            <w:tcBorders>
              <w:top w:val="nil"/>
              <w:left w:val="nil"/>
              <w:bottom w:val="nil"/>
              <w:right w:val="single" w:sz="4" w:space="0" w:color="auto"/>
            </w:tcBorders>
            <w:shd w:val="clear" w:color="auto" w:fill="E6E6E6"/>
          </w:tcPr>
          <w:p w14:paraId="23FD7A91" w14:textId="420215BB" w:rsidR="00D0764B" w:rsidRDefault="00D0764B" w:rsidP="00E44445">
            <w:pPr>
              <w:pStyle w:val="BodyText"/>
            </w:pPr>
            <w:r>
              <w:t xml:space="preserve">7      </w:t>
            </w:r>
            <w:r w:rsidR="00E44445">
              <w:t xml:space="preserve"> </w:t>
            </w:r>
            <w:r>
              <w:t>1</w:t>
            </w:r>
            <w:r w:rsidR="00E44445">
              <w:t xml:space="preserve">       1</w:t>
            </w:r>
          </w:p>
        </w:tc>
        <w:tc>
          <w:tcPr>
            <w:tcW w:w="275" w:type="dxa"/>
            <w:gridSpan w:val="2"/>
            <w:tcBorders>
              <w:top w:val="nil"/>
              <w:left w:val="single" w:sz="4" w:space="0" w:color="auto"/>
              <w:bottom w:val="nil"/>
              <w:right w:val="nil"/>
            </w:tcBorders>
            <w:shd w:val="clear" w:color="auto" w:fill="E6E6E6"/>
          </w:tcPr>
          <w:p w14:paraId="0A99F4B6" w14:textId="77777777" w:rsidR="00D0764B" w:rsidRDefault="00D0764B" w:rsidP="00D0764B">
            <w:pPr>
              <w:pStyle w:val="BodyText"/>
            </w:pPr>
          </w:p>
        </w:tc>
        <w:tc>
          <w:tcPr>
            <w:tcW w:w="1906" w:type="dxa"/>
            <w:tcBorders>
              <w:top w:val="nil"/>
              <w:left w:val="nil"/>
              <w:bottom w:val="nil"/>
              <w:right w:val="nil"/>
            </w:tcBorders>
            <w:shd w:val="clear" w:color="auto" w:fill="E6E6E6"/>
          </w:tcPr>
          <w:p w14:paraId="4E53DA60" w14:textId="41797048" w:rsidR="00D0764B" w:rsidRDefault="00D0764B" w:rsidP="00E44445">
            <w:pPr>
              <w:pStyle w:val="BodyText"/>
            </w:pPr>
            <w:r>
              <w:t>3          1</w:t>
            </w:r>
            <w:r w:rsidR="00E44445">
              <w:t xml:space="preserve">       1</w:t>
            </w:r>
          </w:p>
        </w:tc>
        <w:tc>
          <w:tcPr>
            <w:tcW w:w="225" w:type="dxa"/>
            <w:tcBorders>
              <w:top w:val="nil"/>
              <w:left w:val="nil"/>
              <w:bottom w:val="nil"/>
              <w:right w:val="nil"/>
            </w:tcBorders>
            <w:shd w:val="clear" w:color="auto" w:fill="E6E6E6"/>
          </w:tcPr>
          <w:p w14:paraId="12D7CC1B" w14:textId="77777777" w:rsidR="00D0764B" w:rsidRDefault="00D0764B" w:rsidP="00D0764B">
            <w:pPr>
              <w:pStyle w:val="BodyText"/>
            </w:pPr>
          </w:p>
        </w:tc>
      </w:tr>
    </w:tbl>
    <w:p w14:paraId="0ED0FC3B" w14:textId="0386238A" w:rsidR="0073648B" w:rsidRPr="0089299B" w:rsidRDefault="0089299B" w:rsidP="001E7CAC">
      <w:pPr>
        <w:pStyle w:val="BodyText"/>
        <w:rPr>
          <w:rFonts w:cs="Arial"/>
          <w:i/>
        </w:rPr>
      </w:pPr>
      <w:r>
        <w:rPr>
          <w:rFonts w:cs="Arial"/>
          <w:i/>
        </w:rPr>
        <w:t>*Three year catch average, 2017-2019.</w:t>
      </w:r>
    </w:p>
    <w:p w14:paraId="02691B56" w14:textId="77777777" w:rsidR="001E7CAC" w:rsidRPr="00923507" w:rsidRDefault="001E7CAC" w:rsidP="001E7CAC">
      <w:pPr>
        <w:pStyle w:val="BodyText"/>
        <w:rPr>
          <w:rFonts w:cs="Arial"/>
          <w:b/>
        </w:rPr>
      </w:pPr>
      <w:r>
        <w:rPr>
          <w:rFonts w:cs="Arial"/>
          <w:b/>
        </w:rPr>
        <w:t>Do you have any comments on the proposed TACCs for priority species across each region? Complete the online feedback form.</w:t>
      </w:r>
    </w:p>
    <w:p w14:paraId="154A69B1" w14:textId="77777777" w:rsidR="001E7CAC" w:rsidRDefault="001E7CAC" w:rsidP="001E7CAC">
      <w:pPr>
        <w:pStyle w:val="Heading1"/>
        <w:rPr>
          <w:noProof/>
          <w:lang w:val="en-AU" w:eastAsia="en-AU"/>
        </w:rPr>
      </w:pPr>
    </w:p>
    <w:p w14:paraId="62C56EA9" w14:textId="77777777" w:rsidR="0073648B" w:rsidRDefault="0073648B">
      <w:pPr>
        <w:spacing w:line="240" w:lineRule="auto"/>
        <w:rPr>
          <w:rFonts w:eastAsiaTheme="majorEastAsia" w:cstheme="majorBidi"/>
          <w:b/>
          <w:bCs/>
          <w:color w:val="00427A"/>
          <w:kern w:val="40"/>
          <w:sz w:val="40"/>
          <w:szCs w:val="48"/>
          <w:lang w:val="en-US" w:eastAsia="ja-JP"/>
        </w:rPr>
      </w:pPr>
      <w:r>
        <w:br w:type="page"/>
      </w:r>
    </w:p>
    <w:p w14:paraId="4B33458D" w14:textId="77777777" w:rsidR="00E67923" w:rsidRDefault="00F92564" w:rsidP="00E67923">
      <w:pPr>
        <w:pStyle w:val="Heading1"/>
      </w:pPr>
      <w:bookmarkStart w:id="10" w:name="_Toc43474792"/>
      <w:r>
        <w:lastRenderedPageBreak/>
        <w:t>Quota management for priority species</w:t>
      </w:r>
      <w:bookmarkEnd w:id="10"/>
    </w:p>
    <w:p w14:paraId="09000B3E" w14:textId="77777777" w:rsidR="00F92564" w:rsidRDefault="00F92564" w:rsidP="00F92564">
      <w:pPr>
        <w:pStyle w:val="BodyText"/>
        <w:rPr>
          <w:rFonts w:cs="Arial"/>
        </w:rPr>
      </w:pPr>
      <w:r>
        <w:t>The</w:t>
      </w:r>
      <w:r w:rsidR="00DF51FA">
        <w:rPr>
          <w:szCs w:val="22"/>
        </w:rPr>
        <w:t xml:space="preserve"> four priority species</w:t>
      </w:r>
      <w:r>
        <w:rPr>
          <w:szCs w:val="22"/>
        </w:rPr>
        <w:t xml:space="preserve"> in the marine scalefish fishery are</w:t>
      </w:r>
      <w:r>
        <w:t>:</w:t>
      </w:r>
      <w:r w:rsidR="00DF51FA">
        <w:t xml:space="preserve"> </w:t>
      </w:r>
      <w:r w:rsidR="00DF51FA">
        <w:rPr>
          <w:rFonts w:cs="Arial"/>
        </w:rPr>
        <w:t>snapper, King George whiting, southern calamari and southern garfish.</w:t>
      </w:r>
    </w:p>
    <w:p w14:paraId="61BBF4E8" w14:textId="77777777" w:rsidR="00ED4F37" w:rsidRDefault="00ED4F37" w:rsidP="00FF57C4">
      <w:pPr>
        <w:pStyle w:val="BodyText"/>
      </w:pPr>
      <w:r>
        <w:t xml:space="preserve">The concept of a tiered management approach was supported through the consultation process and the CMSFRAC recommended further refinement of a tiered management framework to be </w:t>
      </w:r>
      <w:r w:rsidRPr="008562D5">
        <w:rPr>
          <w:rFonts w:eastAsia="Calibri" w:cs="Times New Roman"/>
        </w:rPr>
        <w:t xml:space="preserve">adopted for all </w:t>
      </w:r>
      <w:r>
        <w:rPr>
          <w:rFonts w:eastAsia="Calibri" w:cs="Times New Roman"/>
        </w:rPr>
        <w:t>zones</w:t>
      </w:r>
      <w:r w:rsidRPr="008562D5">
        <w:rPr>
          <w:rFonts w:eastAsia="Calibri" w:cs="Times New Roman"/>
        </w:rPr>
        <w:t xml:space="preserve"> of the fishery</w:t>
      </w:r>
      <w:r>
        <w:rPr>
          <w:rFonts w:eastAsia="Calibri" w:cs="Times New Roman"/>
        </w:rPr>
        <w:t>.</w:t>
      </w:r>
      <w:r>
        <w:t xml:space="preserve"> </w:t>
      </w:r>
      <w:r w:rsidR="00FF57C4">
        <w:br/>
      </w:r>
    </w:p>
    <w:p w14:paraId="02AF48A5" w14:textId="77777777" w:rsidR="009F108A" w:rsidRPr="009F108A" w:rsidRDefault="009F108A">
      <w:pPr>
        <w:pStyle w:val="ListParagraph"/>
        <w:numPr>
          <w:ilvl w:val="0"/>
          <w:numId w:val="4"/>
        </w:numPr>
        <w:rPr>
          <w:rFonts w:ascii="Arial" w:hAnsi="Arial" w:cs="Arial"/>
        </w:rPr>
      </w:pPr>
      <w:r w:rsidRPr="009F108A">
        <w:rPr>
          <w:rFonts w:ascii="Arial" w:hAnsi="Arial" w:cs="Arial"/>
        </w:rPr>
        <w:t xml:space="preserve">Tier 1 </w:t>
      </w:r>
      <w:r>
        <w:rPr>
          <w:rFonts w:ascii="Arial" w:hAnsi="Arial" w:cs="Arial"/>
        </w:rPr>
        <w:t xml:space="preserve">- </w:t>
      </w:r>
      <w:r w:rsidRPr="009F108A">
        <w:rPr>
          <w:rFonts w:ascii="Arial" w:hAnsi="Arial" w:cs="Arial"/>
        </w:rPr>
        <w:t xml:space="preserve">highly regulated </w:t>
      </w:r>
      <w:r w:rsidR="00F92564">
        <w:rPr>
          <w:rFonts w:ascii="Arial" w:hAnsi="Arial" w:cs="Arial"/>
        </w:rPr>
        <w:t>ITQ</w:t>
      </w:r>
      <w:r w:rsidR="00963305">
        <w:rPr>
          <w:rFonts w:ascii="Arial" w:hAnsi="Arial" w:cs="Arial"/>
        </w:rPr>
        <w:t xml:space="preserve"> </w:t>
      </w:r>
      <w:r w:rsidRPr="009F108A">
        <w:rPr>
          <w:rFonts w:ascii="Arial" w:hAnsi="Arial" w:cs="Arial"/>
        </w:rPr>
        <w:t>system</w:t>
      </w:r>
      <w:r w:rsidR="00A3066F">
        <w:rPr>
          <w:rFonts w:ascii="Arial" w:hAnsi="Arial" w:cs="Arial"/>
        </w:rPr>
        <w:t xml:space="preserve"> </w:t>
      </w:r>
      <w:r w:rsidR="00B26C73">
        <w:rPr>
          <w:rFonts w:ascii="Arial" w:hAnsi="Arial" w:cs="Arial"/>
        </w:rPr>
        <w:t xml:space="preserve">managed within a </w:t>
      </w:r>
      <w:r w:rsidR="00F92564">
        <w:rPr>
          <w:rFonts w:ascii="Arial" w:hAnsi="Arial" w:cs="Arial"/>
        </w:rPr>
        <w:t>TACC</w:t>
      </w:r>
    </w:p>
    <w:p w14:paraId="198285AF" w14:textId="77777777" w:rsidR="009F108A" w:rsidRPr="009F108A" w:rsidRDefault="009F108A" w:rsidP="009F108A">
      <w:pPr>
        <w:pStyle w:val="ListParagraph"/>
        <w:numPr>
          <w:ilvl w:val="0"/>
          <w:numId w:val="4"/>
        </w:numPr>
        <w:rPr>
          <w:rFonts w:ascii="Arial" w:hAnsi="Arial" w:cs="Arial"/>
        </w:rPr>
      </w:pPr>
      <w:r w:rsidRPr="009F108A">
        <w:rPr>
          <w:rFonts w:ascii="Arial" w:hAnsi="Arial" w:cs="Arial"/>
        </w:rPr>
        <w:t xml:space="preserve">Tier 2 </w:t>
      </w:r>
      <w:r>
        <w:rPr>
          <w:rFonts w:ascii="Arial" w:hAnsi="Arial" w:cs="Arial"/>
        </w:rPr>
        <w:t xml:space="preserve">- </w:t>
      </w:r>
      <w:r w:rsidR="00B26C73">
        <w:rPr>
          <w:rFonts w:ascii="Arial" w:hAnsi="Arial" w:cs="Arial"/>
        </w:rPr>
        <w:t xml:space="preserve">management arrangements designed to constrain the total catch within a </w:t>
      </w:r>
      <w:r w:rsidR="00F92564">
        <w:rPr>
          <w:rFonts w:ascii="Arial" w:hAnsi="Arial" w:cs="Arial"/>
        </w:rPr>
        <w:t>RBC</w:t>
      </w:r>
      <w:r w:rsidR="00B26C73">
        <w:rPr>
          <w:rFonts w:ascii="Arial" w:hAnsi="Arial" w:cs="Arial"/>
        </w:rPr>
        <w:t xml:space="preserve"> limit</w:t>
      </w:r>
    </w:p>
    <w:p w14:paraId="3F4F56B4" w14:textId="77777777" w:rsidR="009F108A" w:rsidRPr="009F108A" w:rsidRDefault="009F108A" w:rsidP="009F108A">
      <w:pPr>
        <w:pStyle w:val="ListParagraph"/>
        <w:numPr>
          <w:ilvl w:val="0"/>
          <w:numId w:val="4"/>
        </w:numPr>
        <w:rPr>
          <w:rFonts w:ascii="Arial" w:hAnsi="Arial" w:cs="Arial"/>
        </w:rPr>
      </w:pPr>
      <w:r w:rsidRPr="009F108A">
        <w:rPr>
          <w:rFonts w:ascii="Arial" w:hAnsi="Arial" w:cs="Arial"/>
        </w:rPr>
        <w:t xml:space="preserve">Tier 3 </w:t>
      </w:r>
      <w:r>
        <w:rPr>
          <w:rFonts w:ascii="Arial" w:hAnsi="Arial" w:cs="Arial"/>
        </w:rPr>
        <w:t xml:space="preserve">- </w:t>
      </w:r>
      <w:r w:rsidRPr="009F108A">
        <w:rPr>
          <w:rFonts w:ascii="Arial" w:hAnsi="Arial" w:cs="Arial"/>
        </w:rPr>
        <w:t>monitored against prescribed performance indicators</w:t>
      </w:r>
    </w:p>
    <w:p w14:paraId="61BE16D9" w14:textId="77777777" w:rsidR="00244151" w:rsidRDefault="0027094B" w:rsidP="00F92564">
      <w:pPr>
        <w:pStyle w:val="BodyText"/>
        <w:rPr>
          <w:szCs w:val="22"/>
        </w:rPr>
      </w:pPr>
      <w:r>
        <w:t xml:space="preserve">A </w:t>
      </w:r>
      <w:r w:rsidR="00650F3C">
        <w:rPr>
          <w:rFonts w:cs="Arial"/>
        </w:rPr>
        <w:t xml:space="preserve">team of experts </w:t>
      </w:r>
      <w:r>
        <w:rPr>
          <w:rFonts w:cs="Arial"/>
        </w:rPr>
        <w:t>including</w:t>
      </w:r>
      <w:r w:rsidR="00650F3C">
        <w:rPr>
          <w:rFonts w:cs="Arial"/>
        </w:rPr>
        <w:t xml:space="preserve"> fisher</w:t>
      </w:r>
      <w:r w:rsidR="002943D1">
        <w:rPr>
          <w:rFonts w:cs="Arial"/>
        </w:rPr>
        <w:t xml:space="preserve">ies scientists, an economist, </w:t>
      </w:r>
      <w:r w:rsidR="00650F3C">
        <w:rPr>
          <w:rFonts w:cs="Arial"/>
        </w:rPr>
        <w:t>social scientist and fisheries managers</w:t>
      </w:r>
      <w:r w:rsidR="00EE25F4">
        <w:rPr>
          <w:rFonts w:cs="Arial"/>
        </w:rPr>
        <w:t xml:space="preserve"> </w:t>
      </w:r>
      <w:r w:rsidR="00F92564">
        <w:rPr>
          <w:rFonts w:cs="Arial"/>
        </w:rPr>
        <w:t xml:space="preserve">assessed the </w:t>
      </w:r>
      <w:r w:rsidR="00244151">
        <w:rPr>
          <w:szCs w:val="22"/>
        </w:rPr>
        <w:t xml:space="preserve">four priority species </w:t>
      </w:r>
      <w:r w:rsidR="00F92564">
        <w:rPr>
          <w:szCs w:val="22"/>
        </w:rPr>
        <w:t>against</w:t>
      </w:r>
      <w:r w:rsidR="00244151">
        <w:rPr>
          <w:szCs w:val="22"/>
        </w:rPr>
        <w:t xml:space="preserve"> </w:t>
      </w:r>
      <w:r w:rsidR="00150B02">
        <w:rPr>
          <w:szCs w:val="22"/>
        </w:rPr>
        <w:t xml:space="preserve">the key criteria of </w:t>
      </w:r>
      <w:r w:rsidR="00244151">
        <w:rPr>
          <w:szCs w:val="22"/>
        </w:rPr>
        <w:t xml:space="preserve">their </w:t>
      </w:r>
      <w:r w:rsidR="00244151">
        <w:rPr>
          <w:szCs w:val="22"/>
        </w:rPr>
        <w:t>stock status</w:t>
      </w:r>
      <w:r w:rsidR="00150B02">
        <w:rPr>
          <w:szCs w:val="22"/>
        </w:rPr>
        <w:t>;</w:t>
      </w:r>
      <w:r w:rsidR="00244151">
        <w:rPr>
          <w:szCs w:val="22"/>
        </w:rPr>
        <w:t xml:space="preserve"> their importance to the recreational, indigenous and commercial fishing sectors; target levels</w:t>
      </w:r>
      <w:r w:rsidR="00C06840">
        <w:rPr>
          <w:szCs w:val="22"/>
        </w:rPr>
        <w:t>;</w:t>
      </w:r>
      <w:r w:rsidR="00244151">
        <w:rPr>
          <w:szCs w:val="22"/>
        </w:rPr>
        <w:t xml:space="preserve"> and their vulnerability to overfishing.</w:t>
      </w:r>
    </w:p>
    <w:p w14:paraId="547F6C68" w14:textId="77777777" w:rsidR="00565378" w:rsidRDefault="00565378" w:rsidP="00EC27F6">
      <w:pPr>
        <w:pStyle w:val="Heading2"/>
      </w:pPr>
      <w:bookmarkStart w:id="11" w:name="_Toc43474793"/>
      <w:r>
        <w:t xml:space="preserve">Proposed </w:t>
      </w:r>
      <w:r w:rsidR="00F92564">
        <w:t>priority species for ITQ by zone</w:t>
      </w:r>
      <w:bookmarkEnd w:id="11"/>
    </w:p>
    <w:p w14:paraId="376EA900" w14:textId="77777777" w:rsidR="003B0BD2" w:rsidRDefault="003B0BD2" w:rsidP="00650F3C">
      <w:pPr>
        <w:pStyle w:val="BodyText"/>
      </w:pPr>
    </w:p>
    <w:tbl>
      <w:tblPr>
        <w:tblStyle w:val="TableGrid"/>
        <w:tblW w:w="0" w:type="auto"/>
        <w:tblLook w:val="04A0" w:firstRow="1" w:lastRow="0" w:firstColumn="1" w:lastColumn="0" w:noHBand="0" w:noVBand="1"/>
      </w:tblPr>
      <w:tblGrid>
        <w:gridCol w:w="2037"/>
        <w:gridCol w:w="2037"/>
        <w:gridCol w:w="2038"/>
        <w:gridCol w:w="2038"/>
        <w:gridCol w:w="2038"/>
      </w:tblGrid>
      <w:tr w:rsidR="003B0BD2" w14:paraId="0AD7B55F" w14:textId="77777777" w:rsidTr="003E4F12">
        <w:tc>
          <w:tcPr>
            <w:tcW w:w="2037" w:type="dxa"/>
            <w:tcBorders>
              <w:top w:val="nil"/>
              <w:left w:val="nil"/>
              <w:bottom w:val="nil"/>
              <w:right w:val="nil"/>
            </w:tcBorders>
            <w:shd w:val="clear" w:color="auto" w:fill="00427A"/>
          </w:tcPr>
          <w:p w14:paraId="2B5628F6" w14:textId="77777777" w:rsidR="003B0BD2" w:rsidRPr="003B0BD2" w:rsidRDefault="003B0BD2" w:rsidP="003B0BD2">
            <w:pPr>
              <w:rPr>
                <w:b/>
                <w:sz w:val="24"/>
                <w:szCs w:val="24"/>
              </w:rPr>
            </w:pPr>
          </w:p>
        </w:tc>
        <w:tc>
          <w:tcPr>
            <w:tcW w:w="2037" w:type="dxa"/>
            <w:tcBorders>
              <w:top w:val="nil"/>
              <w:left w:val="nil"/>
              <w:bottom w:val="nil"/>
              <w:right w:val="nil"/>
            </w:tcBorders>
            <w:shd w:val="clear" w:color="auto" w:fill="00427A"/>
          </w:tcPr>
          <w:p w14:paraId="236E358B" w14:textId="77777777" w:rsidR="003B0BD2" w:rsidRPr="003B0BD2" w:rsidRDefault="003B0BD2" w:rsidP="003B0BD2">
            <w:pPr>
              <w:rPr>
                <w:b/>
                <w:sz w:val="24"/>
                <w:szCs w:val="24"/>
              </w:rPr>
            </w:pPr>
            <w:r>
              <w:rPr>
                <w:b/>
                <w:sz w:val="24"/>
                <w:szCs w:val="24"/>
              </w:rPr>
              <w:t>King George Whiting</w:t>
            </w:r>
          </w:p>
        </w:tc>
        <w:tc>
          <w:tcPr>
            <w:tcW w:w="2038" w:type="dxa"/>
            <w:tcBorders>
              <w:top w:val="nil"/>
              <w:left w:val="nil"/>
              <w:bottom w:val="nil"/>
              <w:right w:val="nil"/>
            </w:tcBorders>
            <w:shd w:val="clear" w:color="auto" w:fill="00427A"/>
          </w:tcPr>
          <w:p w14:paraId="5608D69C" w14:textId="77777777" w:rsidR="003B0BD2" w:rsidRPr="003B0BD2" w:rsidRDefault="003B0BD2" w:rsidP="003B0BD2">
            <w:pPr>
              <w:rPr>
                <w:b/>
                <w:sz w:val="24"/>
                <w:szCs w:val="24"/>
              </w:rPr>
            </w:pPr>
            <w:r>
              <w:rPr>
                <w:b/>
                <w:sz w:val="24"/>
                <w:szCs w:val="24"/>
              </w:rPr>
              <w:t>Snapper</w:t>
            </w:r>
          </w:p>
        </w:tc>
        <w:tc>
          <w:tcPr>
            <w:tcW w:w="2038" w:type="dxa"/>
            <w:tcBorders>
              <w:top w:val="nil"/>
              <w:left w:val="nil"/>
              <w:bottom w:val="nil"/>
              <w:right w:val="nil"/>
            </w:tcBorders>
            <w:shd w:val="clear" w:color="auto" w:fill="00427A"/>
          </w:tcPr>
          <w:p w14:paraId="2C1DF298" w14:textId="77777777" w:rsidR="003B0BD2" w:rsidRPr="003B0BD2" w:rsidRDefault="003B0BD2" w:rsidP="003B0BD2">
            <w:pPr>
              <w:rPr>
                <w:b/>
                <w:sz w:val="24"/>
                <w:szCs w:val="24"/>
              </w:rPr>
            </w:pPr>
            <w:r>
              <w:rPr>
                <w:b/>
                <w:sz w:val="24"/>
                <w:szCs w:val="24"/>
              </w:rPr>
              <w:t>Southern Garfish</w:t>
            </w:r>
          </w:p>
        </w:tc>
        <w:tc>
          <w:tcPr>
            <w:tcW w:w="2038" w:type="dxa"/>
            <w:tcBorders>
              <w:top w:val="nil"/>
              <w:left w:val="nil"/>
              <w:bottom w:val="nil"/>
              <w:right w:val="nil"/>
            </w:tcBorders>
            <w:shd w:val="clear" w:color="auto" w:fill="00427A"/>
          </w:tcPr>
          <w:p w14:paraId="13F0757B" w14:textId="77777777" w:rsidR="003B0BD2" w:rsidRPr="003B0BD2" w:rsidRDefault="003B0BD2" w:rsidP="003B0BD2">
            <w:pPr>
              <w:rPr>
                <w:b/>
                <w:sz w:val="24"/>
                <w:szCs w:val="24"/>
              </w:rPr>
            </w:pPr>
            <w:r>
              <w:rPr>
                <w:b/>
                <w:sz w:val="24"/>
                <w:szCs w:val="24"/>
              </w:rPr>
              <w:t>Southern Calamari</w:t>
            </w:r>
          </w:p>
        </w:tc>
      </w:tr>
      <w:tr w:rsidR="003B0BD2" w14:paraId="3472ACC9" w14:textId="77777777" w:rsidTr="003E4F12">
        <w:trPr>
          <w:trHeight w:val="680"/>
        </w:trPr>
        <w:tc>
          <w:tcPr>
            <w:tcW w:w="2037" w:type="dxa"/>
            <w:tcBorders>
              <w:top w:val="nil"/>
              <w:left w:val="nil"/>
              <w:bottom w:val="nil"/>
              <w:right w:val="nil"/>
            </w:tcBorders>
            <w:shd w:val="clear" w:color="auto" w:fill="808080"/>
          </w:tcPr>
          <w:p w14:paraId="1055AE25" w14:textId="77777777" w:rsidR="003B0BD2" w:rsidRPr="003B0BD2" w:rsidRDefault="003B0BD2" w:rsidP="003B0BD2">
            <w:pPr>
              <w:rPr>
                <w:b/>
                <w:color w:val="FFFFFF" w:themeColor="background1"/>
                <w:szCs w:val="22"/>
              </w:rPr>
            </w:pPr>
            <w:r w:rsidRPr="003B0BD2">
              <w:rPr>
                <w:b/>
                <w:color w:val="FFFFFF" w:themeColor="background1"/>
                <w:szCs w:val="22"/>
              </w:rPr>
              <w:t>West Coast</w:t>
            </w:r>
          </w:p>
        </w:tc>
        <w:tc>
          <w:tcPr>
            <w:tcW w:w="2037" w:type="dxa"/>
            <w:tcBorders>
              <w:top w:val="nil"/>
              <w:left w:val="nil"/>
              <w:bottom w:val="nil"/>
              <w:right w:val="nil"/>
            </w:tcBorders>
            <w:shd w:val="clear" w:color="auto" w:fill="D9D9D9"/>
          </w:tcPr>
          <w:p w14:paraId="4206707F" w14:textId="77777777" w:rsidR="003B0BD2" w:rsidRDefault="00E001A0" w:rsidP="00650F3C">
            <w:pPr>
              <w:pStyle w:val="BodyText"/>
            </w:pPr>
            <w:r>
              <w:t>ITQ</w:t>
            </w:r>
          </w:p>
        </w:tc>
        <w:tc>
          <w:tcPr>
            <w:tcW w:w="2038" w:type="dxa"/>
            <w:tcBorders>
              <w:top w:val="nil"/>
              <w:left w:val="nil"/>
              <w:bottom w:val="nil"/>
              <w:right w:val="nil"/>
            </w:tcBorders>
            <w:shd w:val="clear" w:color="auto" w:fill="D9D9D9"/>
          </w:tcPr>
          <w:p w14:paraId="0C1694AD" w14:textId="77777777" w:rsidR="003B0BD2" w:rsidRDefault="00E001A0" w:rsidP="003E4F12">
            <w:pPr>
              <w:pStyle w:val="BodyText"/>
            </w:pPr>
            <w:r>
              <w:t>ITQ</w:t>
            </w:r>
          </w:p>
        </w:tc>
        <w:tc>
          <w:tcPr>
            <w:tcW w:w="2038" w:type="dxa"/>
            <w:tcBorders>
              <w:top w:val="nil"/>
              <w:left w:val="nil"/>
              <w:bottom w:val="nil"/>
              <w:right w:val="nil"/>
            </w:tcBorders>
            <w:shd w:val="clear" w:color="auto" w:fill="D9D9D9"/>
          </w:tcPr>
          <w:p w14:paraId="595270D6" w14:textId="77777777" w:rsidR="003B0BD2" w:rsidRDefault="003B0BD2" w:rsidP="00650F3C">
            <w:pPr>
              <w:pStyle w:val="BodyText"/>
            </w:pPr>
          </w:p>
        </w:tc>
        <w:tc>
          <w:tcPr>
            <w:tcW w:w="2038" w:type="dxa"/>
            <w:tcBorders>
              <w:top w:val="nil"/>
              <w:left w:val="nil"/>
              <w:bottom w:val="nil"/>
              <w:right w:val="nil"/>
            </w:tcBorders>
            <w:shd w:val="clear" w:color="auto" w:fill="D9D9D9"/>
          </w:tcPr>
          <w:p w14:paraId="4ABFA03A" w14:textId="77777777" w:rsidR="003B0BD2" w:rsidRDefault="003B0BD2" w:rsidP="00650F3C">
            <w:pPr>
              <w:pStyle w:val="BodyText"/>
            </w:pPr>
          </w:p>
        </w:tc>
      </w:tr>
      <w:tr w:rsidR="003B0BD2" w14:paraId="75694528" w14:textId="77777777" w:rsidTr="003E4F12">
        <w:trPr>
          <w:trHeight w:val="680"/>
        </w:trPr>
        <w:tc>
          <w:tcPr>
            <w:tcW w:w="2037" w:type="dxa"/>
            <w:tcBorders>
              <w:top w:val="nil"/>
              <w:left w:val="nil"/>
              <w:bottom w:val="nil"/>
              <w:right w:val="nil"/>
            </w:tcBorders>
            <w:shd w:val="clear" w:color="auto" w:fill="808080"/>
          </w:tcPr>
          <w:p w14:paraId="2E5B5B16" w14:textId="77777777" w:rsidR="003B0BD2" w:rsidRPr="003B0BD2" w:rsidRDefault="003B0BD2" w:rsidP="003B0BD2">
            <w:pPr>
              <w:rPr>
                <w:b/>
                <w:color w:val="FFFFFF" w:themeColor="background1"/>
                <w:szCs w:val="22"/>
              </w:rPr>
            </w:pPr>
            <w:r>
              <w:rPr>
                <w:b/>
                <w:color w:val="FFFFFF" w:themeColor="background1"/>
                <w:szCs w:val="22"/>
              </w:rPr>
              <w:t>Spencer Gulf</w:t>
            </w:r>
          </w:p>
        </w:tc>
        <w:tc>
          <w:tcPr>
            <w:tcW w:w="2037" w:type="dxa"/>
            <w:tcBorders>
              <w:top w:val="nil"/>
              <w:left w:val="nil"/>
              <w:bottom w:val="nil"/>
              <w:right w:val="nil"/>
            </w:tcBorders>
            <w:shd w:val="clear" w:color="auto" w:fill="E6E6E6"/>
          </w:tcPr>
          <w:p w14:paraId="01C21A16" w14:textId="77777777" w:rsidR="003B0BD2" w:rsidRDefault="00E001A0" w:rsidP="00650F3C">
            <w:pPr>
              <w:pStyle w:val="BodyText"/>
            </w:pPr>
            <w:r>
              <w:t>ITQ</w:t>
            </w:r>
          </w:p>
        </w:tc>
        <w:tc>
          <w:tcPr>
            <w:tcW w:w="2038" w:type="dxa"/>
            <w:tcBorders>
              <w:top w:val="nil"/>
              <w:left w:val="nil"/>
              <w:bottom w:val="nil"/>
              <w:right w:val="nil"/>
            </w:tcBorders>
            <w:shd w:val="clear" w:color="auto" w:fill="E6E6E6"/>
          </w:tcPr>
          <w:p w14:paraId="0E6F6F39" w14:textId="77777777" w:rsidR="003B0BD2" w:rsidRDefault="00E001A0" w:rsidP="00650F3C">
            <w:pPr>
              <w:pStyle w:val="BodyText"/>
            </w:pPr>
            <w:r>
              <w:t>ITQ</w:t>
            </w:r>
          </w:p>
        </w:tc>
        <w:tc>
          <w:tcPr>
            <w:tcW w:w="2038" w:type="dxa"/>
            <w:tcBorders>
              <w:top w:val="nil"/>
              <w:left w:val="nil"/>
              <w:bottom w:val="nil"/>
              <w:right w:val="nil"/>
            </w:tcBorders>
            <w:shd w:val="clear" w:color="auto" w:fill="E6E6E6"/>
          </w:tcPr>
          <w:p w14:paraId="640A9E25" w14:textId="77777777" w:rsidR="003B0BD2" w:rsidRDefault="00E001A0" w:rsidP="00650F3C">
            <w:pPr>
              <w:pStyle w:val="BodyText"/>
            </w:pPr>
            <w:r>
              <w:t>ITQ</w:t>
            </w:r>
          </w:p>
        </w:tc>
        <w:tc>
          <w:tcPr>
            <w:tcW w:w="2038" w:type="dxa"/>
            <w:tcBorders>
              <w:top w:val="nil"/>
              <w:left w:val="nil"/>
              <w:bottom w:val="nil"/>
              <w:right w:val="nil"/>
            </w:tcBorders>
            <w:shd w:val="clear" w:color="auto" w:fill="E6E6E6"/>
          </w:tcPr>
          <w:p w14:paraId="0661EA61" w14:textId="77777777" w:rsidR="003B0BD2" w:rsidRDefault="00E001A0" w:rsidP="00650F3C">
            <w:pPr>
              <w:pStyle w:val="BodyText"/>
            </w:pPr>
            <w:r>
              <w:t>ITQ</w:t>
            </w:r>
          </w:p>
        </w:tc>
      </w:tr>
      <w:tr w:rsidR="003B0BD2" w14:paraId="681A6566" w14:textId="77777777" w:rsidTr="003E4F12">
        <w:trPr>
          <w:trHeight w:val="680"/>
        </w:trPr>
        <w:tc>
          <w:tcPr>
            <w:tcW w:w="2037" w:type="dxa"/>
            <w:tcBorders>
              <w:top w:val="nil"/>
              <w:left w:val="nil"/>
              <w:bottom w:val="nil"/>
              <w:right w:val="nil"/>
            </w:tcBorders>
            <w:shd w:val="clear" w:color="auto" w:fill="808080"/>
          </w:tcPr>
          <w:p w14:paraId="628EF907" w14:textId="77777777" w:rsidR="003B0BD2" w:rsidRPr="003B0BD2" w:rsidRDefault="003B0BD2" w:rsidP="003B0BD2">
            <w:pPr>
              <w:rPr>
                <w:b/>
                <w:color w:val="FFFFFF" w:themeColor="background1"/>
                <w:szCs w:val="22"/>
              </w:rPr>
            </w:pPr>
            <w:r w:rsidRPr="003B0BD2">
              <w:rPr>
                <w:b/>
                <w:color w:val="FFFFFF" w:themeColor="background1"/>
                <w:szCs w:val="22"/>
              </w:rPr>
              <w:t>Gulf St Vincent/ Kangaroo Island</w:t>
            </w:r>
          </w:p>
        </w:tc>
        <w:tc>
          <w:tcPr>
            <w:tcW w:w="2037" w:type="dxa"/>
            <w:tcBorders>
              <w:top w:val="nil"/>
              <w:left w:val="nil"/>
              <w:bottom w:val="nil"/>
              <w:right w:val="nil"/>
            </w:tcBorders>
            <w:shd w:val="clear" w:color="auto" w:fill="D9D9D9"/>
          </w:tcPr>
          <w:p w14:paraId="21F47828" w14:textId="77777777" w:rsidR="003B0BD2" w:rsidRDefault="00E001A0" w:rsidP="00650F3C">
            <w:pPr>
              <w:pStyle w:val="BodyText"/>
            </w:pPr>
            <w:r>
              <w:t>ITQ</w:t>
            </w:r>
          </w:p>
        </w:tc>
        <w:tc>
          <w:tcPr>
            <w:tcW w:w="2038" w:type="dxa"/>
            <w:tcBorders>
              <w:top w:val="nil"/>
              <w:left w:val="nil"/>
              <w:bottom w:val="nil"/>
              <w:right w:val="nil"/>
            </w:tcBorders>
            <w:shd w:val="clear" w:color="auto" w:fill="D9D9D9"/>
          </w:tcPr>
          <w:p w14:paraId="3AB25E9D" w14:textId="77777777" w:rsidR="003B0BD2" w:rsidRDefault="00E001A0" w:rsidP="00650F3C">
            <w:pPr>
              <w:pStyle w:val="BodyText"/>
            </w:pPr>
            <w:r>
              <w:t>ITQ</w:t>
            </w:r>
          </w:p>
        </w:tc>
        <w:tc>
          <w:tcPr>
            <w:tcW w:w="2038" w:type="dxa"/>
            <w:tcBorders>
              <w:top w:val="nil"/>
              <w:left w:val="nil"/>
              <w:bottom w:val="nil"/>
              <w:right w:val="nil"/>
            </w:tcBorders>
            <w:shd w:val="clear" w:color="auto" w:fill="D9D9D9"/>
          </w:tcPr>
          <w:p w14:paraId="67E47CD5" w14:textId="77777777" w:rsidR="003B0BD2" w:rsidRDefault="00E001A0" w:rsidP="00650F3C">
            <w:pPr>
              <w:pStyle w:val="BodyText"/>
            </w:pPr>
            <w:r>
              <w:t>ITQ</w:t>
            </w:r>
          </w:p>
        </w:tc>
        <w:tc>
          <w:tcPr>
            <w:tcW w:w="2038" w:type="dxa"/>
            <w:tcBorders>
              <w:top w:val="nil"/>
              <w:left w:val="nil"/>
              <w:bottom w:val="nil"/>
              <w:right w:val="nil"/>
            </w:tcBorders>
            <w:shd w:val="clear" w:color="auto" w:fill="D9D9D9"/>
          </w:tcPr>
          <w:p w14:paraId="4395E260" w14:textId="77777777" w:rsidR="003B0BD2" w:rsidRDefault="00E001A0" w:rsidP="00650F3C">
            <w:pPr>
              <w:pStyle w:val="BodyText"/>
            </w:pPr>
            <w:r>
              <w:t>ITQ</w:t>
            </w:r>
          </w:p>
        </w:tc>
      </w:tr>
      <w:tr w:rsidR="003B0BD2" w14:paraId="59D04E64" w14:textId="77777777" w:rsidTr="003E4F12">
        <w:trPr>
          <w:trHeight w:val="680"/>
        </w:trPr>
        <w:tc>
          <w:tcPr>
            <w:tcW w:w="2037" w:type="dxa"/>
            <w:tcBorders>
              <w:top w:val="nil"/>
              <w:left w:val="nil"/>
              <w:bottom w:val="nil"/>
              <w:right w:val="nil"/>
            </w:tcBorders>
            <w:shd w:val="clear" w:color="auto" w:fill="808080"/>
          </w:tcPr>
          <w:p w14:paraId="57B0E2CE" w14:textId="77777777" w:rsidR="003B0BD2" w:rsidRPr="003B0BD2" w:rsidRDefault="003B0BD2" w:rsidP="003B0BD2">
            <w:pPr>
              <w:rPr>
                <w:b/>
                <w:color w:val="FFFFFF" w:themeColor="background1"/>
                <w:szCs w:val="22"/>
              </w:rPr>
            </w:pPr>
            <w:r w:rsidRPr="003B0BD2">
              <w:rPr>
                <w:b/>
                <w:color w:val="FFFFFF" w:themeColor="background1"/>
                <w:szCs w:val="22"/>
              </w:rPr>
              <w:t>South East</w:t>
            </w:r>
          </w:p>
        </w:tc>
        <w:tc>
          <w:tcPr>
            <w:tcW w:w="2037" w:type="dxa"/>
            <w:tcBorders>
              <w:top w:val="nil"/>
              <w:left w:val="nil"/>
              <w:bottom w:val="nil"/>
              <w:right w:val="nil"/>
            </w:tcBorders>
            <w:shd w:val="clear" w:color="auto" w:fill="E6E6E6"/>
          </w:tcPr>
          <w:p w14:paraId="37F9D021" w14:textId="77777777" w:rsidR="003B0BD2" w:rsidRDefault="003B0BD2" w:rsidP="00650F3C">
            <w:pPr>
              <w:pStyle w:val="BodyText"/>
            </w:pPr>
          </w:p>
        </w:tc>
        <w:tc>
          <w:tcPr>
            <w:tcW w:w="2038" w:type="dxa"/>
            <w:tcBorders>
              <w:top w:val="nil"/>
              <w:left w:val="nil"/>
              <w:bottom w:val="nil"/>
              <w:right w:val="nil"/>
            </w:tcBorders>
            <w:shd w:val="clear" w:color="auto" w:fill="E6E6E6"/>
          </w:tcPr>
          <w:p w14:paraId="05B24CEC" w14:textId="77777777" w:rsidR="003B0BD2" w:rsidRDefault="00E001A0" w:rsidP="00650F3C">
            <w:pPr>
              <w:pStyle w:val="BodyText"/>
            </w:pPr>
            <w:r>
              <w:t>ITQ</w:t>
            </w:r>
          </w:p>
        </w:tc>
        <w:tc>
          <w:tcPr>
            <w:tcW w:w="2038" w:type="dxa"/>
            <w:tcBorders>
              <w:top w:val="nil"/>
              <w:left w:val="nil"/>
              <w:bottom w:val="nil"/>
              <w:right w:val="nil"/>
            </w:tcBorders>
            <w:shd w:val="clear" w:color="auto" w:fill="E6E6E6"/>
          </w:tcPr>
          <w:p w14:paraId="243D9F6D" w14:textId="77777777" w:rsidR="003B0BD2" w:rsidRDefault="003B0BD2" w:rsidP="00E001A0">
            <w:pPr>
              <w:pStyle w:val="BodyText"/>
            </w:pPr>
          </w:p>
        </w:tc>
        <w:tc>
          <w:tcPr>
            <w:tcW w:w="2038" w:type="dxa"/>
            <w:tcBorders>
              <w:top w:val="nil"/>
              <w:left w:val="nil"/>
              <w:bottom w:val="nil"/>
              <w:right w:val="nil"/>
            </w:tcBorders>
            <w:shd w:val="clear" w:color="auto" w:fill="E6E6E6"/>
          </w:tcPr>
          <w:p w14:paraId="6B19DA15" w14:textId="77777777" w:rsidR="003B0BD2" w:rsidRDefault="003B0BD2" w:rsidP="00650F3C">
            <w:pPr>
              <w:pStyle w:val="BodyText"/>
            </w:pPr>
          </w:p>
        </w:tc>
      </w:tr>
    </w:tbl>
    <w:p w14:paraId="275C286C" w14:textId="0EDE6165" w:rsidR="00F92564" w:rsidRPr="00C56187" w:rsidRDefault="00ED4F37" w:rsidP="00F92564">
      <w:pPr>
        <w:pStyle w:val="BodyText"/>
        <w:rPr>
          <w:szCs w:val="22"/>
        </w:rPr>
      </w:pPr>
      <w:r>
        <w:rPr>
          <w:szCs w:val="22"/>
        </w:rPr>
        <w:t xml:space="preserve">In Stage 2 </w:t>
      </w:r>
      <w:r w:rsidR="00C06840">
        <w:rPr>
          <w:szCs w:val="22"/>
        </w:rPr>
        <w:t>i</w:t>
      </w:r>
      <w:r>
        <w:rPr>
          <w:szCs w:val="22"/>
        </w:rPr>
        <w:t>nformation, a proposed</w:t>
      </w:r>
      <w:r w:rsidR="00F92564">
        <w:rPr>
          <w:szCs w:val="22"/>
        </w:rPr>
        <w:t xml:space="preserve"> t</w:t>
      </w:r>
      <w:r w:rsidR="00F92564" w:rsidRPr="00C56187">
        <w:rPr>
          <w:szCs w:val="22"/>
        </w:rPr>
        <w:t xml:space="preserve">iered management framework </w:t>
      </w:r>
      <w:r>
        <w:rPr>
          <w:szCs w:val="22"/>
        </w:rPr>
        <w:t xml:space="preserve">tool will be released for consideration by licence holders. The tiered management framework tool will be used by the Management Advisory Council to assist in their recommendations </w:t>
      </w:r>
      <w:r w:rsidR="00C06840">
        <w:rPr>
          <w:szCs w:val="22"/>
        </w:rPr>
        <w:t xml:space="preserve">of </w:t>
      </w:r>
      <w:r>
        <w:rPr>
          <w:szCs w:val="22"/>
        </w:rPr>
        <w:t>categorisation (tier allocation) of</w:t>
      </w:r>
      <w:r w:rsidR="00F92564" w:rsidRPr="00C56187">
        <w:rPr>
          <w:szCs w:val="22"/>
        </w:rPr>
        <w:t xml:space="preserve"> all MSF species</w:t>
      </w:r>
      <w:r>
        <w:rPr>
          <w:szCs w:val="22"/>
        </w:rPr>
        <w:t xml:space="preserve"> by </w:t>
      </w:r>
      <w:r w:rsidR="00C06840">
        <w:rPr>
          <w:szCs w:val="22"/>
        </w:rPr>
        <w:t>zone</w:t>
      </w:r>
      <w:r>
        <w:rPr>
          <w:szCs w:val="22"/>
        </w:rPr>
        <w:t>.</w:t>
      </w:r>
    </w:p>
    <w:p w14:paraId="158785C3" w14:textId="77777777" w:rsidR="0073648B" w:rsidRPr="00FF57C4" w:rsidRDefault="00ED4F37" w:rsidP="00FF57C4">
      <w:pPr>
        <w:pStyle w:val="BodyText"/>
        <w:rPr>
          <w:rFonts w:cs="Arial"/>
        </w:rPr>
      </w:pPr>
      <w:r w:rsidRPr="00FF57C4">
        <w:rPr>
          <w:rFonts w:cs="Arial"/>
          <w:b/>
        </w:rPr>
        <w:t>Do you have any comments on the proposed management framework for priority species? Complete the online feedback form.</w:t>
      </w:r>
    </w:p>
    <w:p w14:paraId="0B234B1B" w14:textId="77777777" w:rsidR="0073648B" w:rsidRDefault="0073648B" w:rsidP="00FF57C4">
      <w:pPr>
        <w:rPr>
          <w:rFonts w:eastAsiaTheme="majorEastAsia" w:cstheme="majorBidi"/>
          <w:noProof/>
          <w:color w:val="00427A"/>
          <w:kern w:val="40"/>
          <w:sz w:val="40"/>
          <w:szCs w:val="48"/>
          <w:lang w:eastAsia="en-AU"/>
        </w:rPr>
      </w:pPr>
      <w:r>
        <w:rPr>
          <w:noProof/>
          <w:lang w:eastAsia="en-AU"/>
        </w:rPr>
        <w:br w:type="page"/>
      </w:r>
    </w:p>
    <w:p w14:paraId="6405064D" w14:textId="77777777" w:rsidR="00AC207D" w:rsidRDefault="00AC207D" w:rsidP="00AC207D">
      <w:pPr>
        <w:pStyle w:val="Heading1"/>
      </w:pPr>
      <w:bookmarkStart w:id="12" w:name="_Toc43474794"/>
      <w:r>
        <w:rPr>
          <w:noProof/>
          <w:lang w:val="en-AU" w:eastAsia="en-AU"/>
        </w:rPr>
        <w:lastRenderedPageBreak/>
        <w:t>Feedback</w:t>
      </w:r>
      <w:bookmarkEnd w:id="12"/>
    </w:p>
    <w:p w14:paraId="2FCF9A5B" w14:textId="77777777" w:rsidR="00AC207D" w:rsidRDefault="00715570" w:rsidP="00AC207D">
      <w:r>
        <w:t>Licence holders are invited to provide f</w:t>
      </w:r>
      <w:r w:rsidR="00AC207D">
        <w:t xml:space="preserve">eedback on </w:t>
      </w:r>
      <w:r w:rsidR="00ED4F37">
        <w:t xml:space="preserve">this </w:t>
      </w:r>
      <w:r w:rsidR="00AC207D">
        <w:t>information</w:t>
      </w:r>
      <w:r w:rsidR="0039156D">
        <w:t xml:space="preserve">. Feedback will be considered </w:t>
      </w:r>
      <w:r w:rsidR="00AC207D">
        <w:t xml:space="preserve">as part of </w:t>
      </w:r>
      <w:r>
        <w:t xml:space="preserve">future refinements to </w:t>
      </w:r>
      <w:r w:rsidR="00AC207D">
        <w:t>the reform process.</w:t>
      </w:r>
    </w:p>
    <w:p w14:paraId="4A615B7E" w14:textId="77777777" w:rsidR="00AC207D" w:rsidRDefault="0039156D" w:rsidP="00FF57C4">
      <w:pPr>
        <w:pStyle w:val="BodyText"/>
      </w:pPr>
      <w:r>
        <w:t xml:space="preserve">Please complete the online feedback form </w:t>
      </w:r>
      <w:r w:rsidR="00FF57C4">
        <w:t xml:space="preserve">via </w:t>
      </w:r>
      <w:hyperlink r:id="rId21" w:history="1">
        <w:r w:rsidR="00AC207D" w:rsidRPr="005F5281">
          <w:rPr>
            <w:rStyle w:val="Hyperlink"/>
          </w:rPr>
          <w:t>www.pir.sa.gov.au/fishingreform</w:t>
        </w:r>
      </w:hyperlink>
      <w:r w:rsidR="00AC207D">
        <w:t xml:space="preserve"> </w:t>
      </w:r>
    </w:p>
    <w:p w14:paraId="13FFC0BA" w14:textId="77777777" w:rsidR="000E24A8" w:rsidRDefault="000E24A8" w:rsidP="00AC207D">
      <w:pPr>
        <w:pStyle w:val="Heading1"/>
        <w:rPr>
          <w:noProof/>
          <w:lang w:val="en-AU" w:eastAsia="en-AU"/>
        </w:rPr>
      </w:pPr>
      <w:bookmarkStart w:id="13" w:name="_Toc43474795"/>
      <w:r>
        <w:rPr>
          <w:noProof/>
          <w:lang w:val="en-AU" w:eastAsia="en-AU"/>
        </w:rPr>
        <w:t>Next steps</w:t>
      </w:r>
      <w:bookmarkEnd w:id="13"/>
    </w:p>
    <w:p w14:paraId="55914BC7" w14:textId="77777777" w:rsidR="000E24A8" w:rsidRPr="000E24A8" w:rsidRDefault="000E24A8" w:rsidP="000E24A8">
      <w:r>
        <w:t xml:space="preserve">In mid July 2020, </w:t>
      </w:r>
      <w:r w:rsidR="0039156D">
        <w:t xml:space="preserve">Stage 2 </w:t>
      </w:r>
      <w:r>
        <w:t>information will be release</w:t>
      </w:r>
      <w:r w:rsidR="0061767E">
        <w:t>d</w:t>
      </w:r>
      <w:r>
        <w:t xml:space="preserve"> for licence holders to consider</w:t>
      </w:r>
      <w:r w:rsidR="00E979F9">
        <w:t xml:space="preserve"> and provide feedback</w:t>
      </w:r>
      <w:r>
        <w:t>.</w:t>
      </w:r>
      <w:r w:rsidR="0039156D">
        <w:t xml:space="preserve"> This i</w:t>
      </w:r>
      <w:r>
        <w:t>nformation will include:</w:t>
      </w:r>
      <w:r w:rsidR="00AB72F1">
        <w:br/>
      </w:r>
    </w:p>
    <w:p w14:paraId="4214F193" w14:textId="77777777" w:rsidR="000E24A8" w:rsidRPr="000E24A8" w:rsidRDefault="000E24A8" w:rsidP="000E24A8">
      <w:pPr>
        <w:pStyle w:val="ListParagraph"/>
        <w:numPr>
          <w:ilvl w:val="0"/>
          <w:numId w:val="4"/>
        </w:numPr>
        <w:rPr>
          <w:rFonts w:ascii="Arial" w:hAnsi="Arial" w:cs="Arial"/>
        </w:rPr>
      </w:pPr>
      <w:r>
        <w:rPr>
          <w:rFonts w:ascii="Arial" w:hAnsi="Arial" w:cs="Arial"/>
        </w:rPr>
        <w:t xml:space="preserve">the </w:t>
      </w:r>
      <w:r w:rsidRPr="000E24A8">
        <w:rPr>
          <w:rFonts w:ascii="Arial" w:hAnsi="Arial" w:cs="Arial"/>
        </w:rPr>
        <w:t>proposed method of allocating catch</w:t>
      </w:r>
      <w:r>
        <w:rPr>
          <w:rFonts w:ascii="Arial" w:hAnsi="Arial" w:cs="Arial"/>
        </w:rPr>
        <w:t xml:space="preserve"> quota units to licence holders</w:t>
      </w:r>
    </w:p>
    <w:p w14:paraId="38847DE7" w14:textId="77777777" w:rsidR="000E24A8" w:rsidRPr="000E24A8" w:rsidRDefault="000E24A8" w:rsidP="000E24A8">
      <w:pPr>
        <w:pStyle w:val="ListParagraph"/>
        <w:numPr>
          <w:ilvl w:val="0"/>
          <w:numId w:val="4"/>
        </w:numPr>
        <w:rPr>
          <w:rFonts w:ascii="Arial" w:hAnsi="Arial" w:cs="Arial"/>
        </w:rPr>
      </w:pPr>
      <w:r>
        <w:rPr>
          <w:rFonts w:ascii="Arial" w:hAnsi="Arial" w:cs="Arial"/>
        </w:rPr>
        <w:t xml:space="preserve">the </w:t>
      </w:r>
      <w:r w:rsidRPr="000E24A8">
        <w:rPr>
          <w:rFonts w:ascii="Arial" w:hAnsi="Arial" w:cs="Arial"/>
        </w:rPr>
        <w:t xml:space="preserve">compliance program to inform </w:t>
      </w:r>
      <w:r>
        <w:rPr>
          <w:rFonts w:ascii="Arial" w:hAnsi="Arial" w:cs="Arial"/>
        </w:rPr>
        <w:t xml:space="preserve">the </w:t>
      </w:r>
      <w:r w:rsidRPr="000E24A8">
        <w:rPr>
          <w:rFonts w:ascii="Arial" w:hAnsi="Arial" w:cs="Arial"/>
        </w:rPr>
        <w:t xml:space="preserve">integrity of </w:t>
      </w:r>
      <w:r w:rsidR="00C06840">
        <w:rPr>
          <w:rFonts w:ascii="Arial" w:hAnsi="Arial" w:cs="Arial"/>
        </w:rPr>
        <w:t xml:space="preserve">the </w:t>
      </w:r>
      <w:r w:rsidRPr="000E24A8">
        <w:rPr>
          <w:rFonts w:ascii="Arial" w:hAnsi="Arial" w:cs="Arial"/>
        </w:rPr>
        <w:t>quota management system</w:t>
      </w:r>
    </w:p>
    <w:p w14:paraId="4DDED72A" w14:textId="77777777" w:rsidR="000E24A8" w:rsidRPr="000E24A8" w:rsidRDefault="000E24A8" w:rsidP="000E24A8">
      <w:pPr>
        <w:pStyle w:val="ListParagraph"/>
        <w:numPr>
          <w:ilvl w:val="0"/>
          <w:numId w:val="4"/>
        </w:numPr>
        <w:rPr>
          <w:rFonts w:ascii="Arial" w:hAnsi="Arial" w:cs="Arial"/>
        </w:rPr>
      </w:pPr>
      <w:r>
        <w:rPr>
          <w:rFonts w:ascii="Arial" w:hAnsi="Arial" w:cs="Arial"/>
        </w:rPr>
        <w:t xml:space="preserve">how </w:t>
      </w:r>
      <w:r w:rsidRPr="000E24A8">
        <w:rPr>
          <w:rFonts w:ascii="Arial" w:hAnsi="Arial" w:cs="Arial"/>
        </w:rPr>
        <w:t>other fisheries with access to marine scalefish</w:t>
      </w:r>
      <w:r>
        <w:rPr>
          <w:rFonts w:ascii="Arial" w:hAnsi="Arial" w:cs="Arial"/>
        </w:rPr>
        <w:t xml:space="preserve"> will be integrated</w:t>
      </w:r>
      <w:r w:rsidRPr="000E24A8">
        <w:rPr>
          <w:rFonts w:ascii="Arial" w:hAnsi="Arial" w:cs="Arial"/>
        </w:rPr>
        <w:t xml:space="preserve"> into </w:t>
      </w:r>
      <w:r w:rsidR="008B5AF1">
        <w:rPr>
          <w:rFonts w:ascii="Arial" w:hAnsi="Arial" w:cs="Arial"/>
        </w:rPr>
        <w:t xml:space="preserve">the </w:t>
      </w:r>
      <w:r w:rsidRPr="000E24A8">
        <w:rPr>
          <w:rFonts w:ascii="Arial" w:hAnsi="Arial" w:cs="Arial"/>
        </w:rPr>
        <w:t>reform process</w:t>
      </w:r>
    </w:p>
    <w:p w14:paraId="78F154B3" w14:textId="77777777" w:rsidR="000E24A8" w:rsidRPr="000E24A8" w:rsidRDefault="000E24A8" w:rsidP="000E24A8">
      <w:pPr>
        <w:pStyle w:val="ListParagraph"/>
        <w:numPr>
          <w:ilvl w:val="0"/>
          <w:numId w:val="4"/>
        </w:numPr>
        <w:rPr>
          <w:rFonts w:ascii="Arial" w:hAnsi="Arial" w:cs="Arial"/>
        </w:rPr>
      </w:pPr>
      <w:r w:rsidRPr="000E24A8">
        <w:rPr>
          <w:rFonts w:ascii="Arial" w:hAnsi="Arial" w:cs="Arial"/>
        </w:rPr>
        <w:t xml:space="preserve">research program to inform </w:t>
      </w:r>
      <w:r>
        <w:rPr>
          <w:rFonts w:ascii="Arial" w:hAnsi="Arial" w:cs="Arial"/>
        </w:rPr>
        <w:t xml:space="preserve">the </w:t>
      </w:r>
      <w:r w:rsidRPr="000E24A8">
        <w:rPr>
          <w:rFonts w:ascii="Arial" w:hAnsi="Arial" w:cs="Arial"/>
        </w:rPr>
        <w:t>new management framework</w:t>
      </w:r>
    </w:p>
    <w:p w14:paraId="5D4B4D30" w14:textId="77777777" w:rsidR="000E24A8" w:rsidRDefault="000E24A8" w:rsidP="000E24A8">
      <w:pPr>
        <w:pStyle w:val="ListParagraph"/>
        <w:numPr>
          <w:ilvl w:val="0"/>
          <w:numId w:val="4"/>
        </w:numPr>
        <w:rPr>
          <w:rFonts w:ascii="Arial" w:hAnsi="Arial" w:cs="Arial"/>
        </w:rPr>
      </w:pPr>
      <w:r w:rsidRPr="000E24A8">
        <w:rPr>
          <w:rFonts w:ascii="Arial" w:hAnsi="Arial" w:cs="Arial"/>
        </w:rPr>
        <w:t>potential amendments to regulations, licence conditions and management arrangements</w:t>
      </w:r>
    </w:p>
    <w:p w14:paraId="2CDD1583" w14:textId="77777777" w:rsidR="0039156D" w:rsidRPr="000E24A8" w:rsidRDefault="0039156D" w:rsidP="000E24A8">
      <w:pPr>
        <w:pStyle w:val="ListParagraph"/>
        <w:numPr>
          <w:ilvl w:val="0"/>
          <w:numId w:val="4"/>
        </w:numPr>
        <w:rPr>
          <w:rFonts w:ascii="Arial" w:hAnsi="Arial" w:cs="Arial"/>
        </w:rPr>
      </w:pPr>
      <w:r>
        <w:rPr>
          <w:rFonts w:ascii="Arial" w:hAnsi="Arial" w:cs="Arial"/>
        </w:rPr>
        <w:t>the tiered management framework tool.</w:t>
      </w:r>
    </w:p>
    <w:p w14:paraId="388F0BB8" w14:textId="77777777" w:rsidR="000E24A8" w:rsidRDefault="000E24A8" w:rsidP="00F65643">
      <w:pPr>
        <w:pStyle w:val="ListParagraph"/>
        <w:rPr>
          <w:rFonts w:ascii="Arial" w:hAnsi="Arial" w:cs="Arial"/>
        </w:rPr>
      </w:pPr>
    </w:p>
    <w:p w14:paraId="62C17678" w14:textId="77777777" w:rsidR="0061767E" w:rsidRPr="0061767E" w:rsidRDefault="009E19A2" w:rsidP="0061767E">
      <w:pPr>
        <w:rPr>
          <w:rFonts w:cs="Arial"/>
        </w:rPr>
      </w:pPr>
      <w:r>
        <w:rPr>
          <w:rFonts w:cs="Arial"/>
        </w:rPr>
        <w:t>O</w:t>
      </w:r>
      <w:r w:rsidR="0061767E">
        <w:rPr>
          <w:rFonts w:cs="Arial"/>
        </w:rPr>
        <w:t>ffers for the voluntary licence surrender program must be submitted by 13 November 2020.</w:t>
      </w:r>
    </w:p>
    <w:p w14:paraId="32EAD7A0" w14:textId="77777777" w:rsidR="00AC207D" w:rsidRDefault="00AC207D" w:rsidP="00AC207D">
      <w:pPr>
        <w:pStyle w:val="Heading1"/>
        <w:rPr>
          <w:noProof/>
          <w:lang w:val="en-AU" w:eastAsia="en-AU"/>
        </w:rPr>
      </w:pPr>
      <w:bookmarkStart w:id="14" w:name="_Toc43474796"/>
      <w:r>
        <w:rPr>
          <w:noProof/>
          <w:lang w:val="en-AU" w:eastAsia="en-AU"/>
        </w:rPr>
        <w:t>Contact</w:t>
      </w:r>
      <w:bookmarkEnd w:id="14"/>
    </w:p>
    <w:p w14:paraId="765EDC87" w14:textId="77777777" w:rsidR="00AC207D" w:rsidRPr="00FF2F84" w:rsidRDefault="00AC207D" w:rsidP="00AC207D">
      <w:r w:rsidRPr="00FF2F84">
        <w:t>If you have any questions on the reform process, please contact:</w:t>
      </w:r>
    </w:p>
    <w:p w14:paraId="303F2B38" w14:textId="77777777" w:rsidR="00AC207D" w:rsidRDefault="00AC207D" w:rsidP="00AC207D"/>
    <w:p w14:paraId="0269C6B5" w14:textId="77777777" w:rsidR="00AC207D" w:rsidRPr="00FF2F84" w:rsidRDefault="00AC207D" w:rsidP="00AC207D">
      <w:r w:rsidRPr="00FF2F84">
        <w:t>Email: </w:t>
      </w:r>
      <w:hyperlink r:id="rId22" w:history="1">
        <w:r w:rsidRPr="00FF2F84">
          <w:t>MSF.Reform@sa.gov.au</w:t>
        </w:r>
      </w:hyperlink>
      <w:r>
        <w:t xml:space="preserve"> </w:t>
      </w:r>
    </w:p>
    <w:p w14:paraId="2EF8CC8C" w14:textId="77777777" w:rsidR="00AC207D" w:rsidRDefault="00AC207D" w:rsidP="00AC207D"/>
    <w:p w14:paraId="19CBD295" w14:textId="77777777" w:rsidR="00AC207D" w:rsidRPr="00FF2F84" w:rsidRDefault="00AC207D" w:rsidP="00AC207D">
      <w:r w:rsidRPr="00FF2F84">
        <w:t>Jon Presser</w:t>
      </w:r>
      <w:r w:rsidRPr="00FF2F84">
        <w:br/>
        <w:t>Manager Fisheries Reform</w:t>
      </w:r>
      <w:r w:rsidRPr="00FF2F84">
        <w:br/>
        <w:t>Phone: (08) 8429 0588</w:t>
      </w:r>
    </w:p>
    <w:p w14:paraId="3B5A5FB1" w14:textId="77777777" w:rsidR="00AC207D" w:rsidRDefault="00AC207D" w:rsidP="00AC207D"/>
    <w:p w14:paraId="1515E0AC" w14:textId="77777777" w:rsidR="00AC207D" w:rsidRPr="00FF2F84" w:rsidRDefault="00AC207D" w:rsidP="00AC207D">
      <w:r w:rsidRPr="00FF2F84">
        <w:t>Alice Fistr</w:t>
      </w:r>
      <w:r w:rsidRPr="00FF2F84">
        <w:br/>
        <w:t>Senior Adviser Fisheries Reform</w:t>
      </w:r>
      <w:r w:rsidRPr="00FF2F84">
        <w:br/>
        <w:t>Phone: (08) 8429 3565</w:t>
      </w:r>
    </w:p>
    <w:p w14:paraId="0358D206" w14:textId="77777777" w:rsidR="00AC207D" w:rsidRDefault="00AC207D" w:rsidP="00AC207D">
      <w:pPr>
        <w:rPr>
          <w:lang w:eastAsia="en-AU"/>
        </w:rPr>
      </w:pPr>
    </w:p>
    <w:p w14:paraId="017DD1C0" w14:textId="77777777" w:rsidR="00AC207D" w:rsidRDefault="00AC207D" w:rsidP="00AC207D">
      <w:pPr>
        <w:rPr>
          <w:lang w:eastAsia="en-AU"/>
        </w:rPr>
      </w:pPr>
      <w:r>
        <w:rPr>
          <w:lang w:eastAsia="en-AU"/>
        </w:rPr>
        <w:t xml:space="preserve">For more information visit </w:t>
      </w:r>
      <w:hyperlink r:id="rId23" w:history="1">
        <w:r w:rsidRPr="005F5281">
          <w:rPr>
            <w:rStyle w:val="Hyperlink"/>
            <w:lang w:eastAsia="en-AU"/>
          </w:rPr>
          <w:t>www.pir.sa.gov.au/fishingreform</w:t>
        </w:r>
      </w:hyperlink>
      <w:r>
        <w:rPr>
          <w:lang w:eastAsia="en-AU"/>
        </w:rPr>
        <w:t xml:space="preserve"> </w:t>
      </w:r>
    </w:p>
    <w:p w14:paraId="52E4749C" w14:textId="77777777" w:rsidR="00AE591E" w:rsidRDefault="00AE591E" w:rsidP="00AC207D">
      <w:pPr>
        <w:rPr>
          <w:lang w:eastAsia="en-AU"/>
        </w:rPr>
      </w:pPr>
    </w:p>
    <w:p w14:paraId="215A77EA" w14:textId="77777777" w:rsidR="00567E4E" w:rsidRPr="00B2037C" w:rsidRDefault="00567E4E" w:rsidP="0047520C">
      <w:pPr>
        <w:pStyle w:val="BodyText"/>
      </w:pPr>
    </w:p>
    <w:sectPr w:rsidR="00567E4E" w:rsidRPr="00B2037C" w:rsidSect="00AF782E">
      <w:type w:val="continuous"/>
      <w:pgSz w:w="11900" w:h="16840"/>
      <w:pgMar w:top="851" w:right="851" w:bottom="1474" w:left="851" w:header="28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DC97" w14:textId="77777777" w:rsidR="001767C3" w:rsidRDefault="001767C3" w:rsidP="00CB0DB5">
      <w:r>
        <w:separator/>
      </w:r>
    </w:p>
  </w:endnote>
  <w:endnote w:type="continuationSeparator" w:id="0">
    <w:p w14:paraId="5DAA64F6" w14:textId="77777777" w:rsidR="001767C3" w:rsidRDefault="001767C3"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CE7B" w14:textId="600939E3" w:rsidR="00FF57C4" w:rsidRDefault="00FF57C4" w:rsidP="00567E4E">
    <w:pPr>
      <w:spacing w:after="40"/>
      <w:jc w:val="center"/>
    </w:pPr>
    <w:r w:rsidRPr="008B4454">
      <w:rPr>
        <w:rStyle w:val="PageNumber"/>
      </w:rPr>
      <w:fldChar w:fldCharType="begin"/>
    </w:r>
    <w:r w:rsidRPr="008B4454">
      <w:rPr>
        <w:rStyle w:val="PageNumber"/>
      </w:rPr>
      <w:instrText xml:space="preserve"> PAGE </w:instrText>
    </w:r>
    <w:r w:rsidRPr="008B4454">
      <w:rPr>
        <w:rStyle w:val="PageNumber"/>
      </w:rPr>
      <w:fldChar w:fldCharType="separate"/>
    </w:r>
    <w:r w:rsidR="00FD3837">
      <w:rPr>
        <w:rStyle w:val="PageNumber"/>
        <w:noProof/>
      </w:rPr>
      <w:t>7</w:t>
    </w:r>
    <w:r w:rsidRPr="008B445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1D7A" w14:textId="77777777" w:rsidR="00FF57C4" w:rsidRPr="0047520C" w:rsidRDefault="00FF57C4" w:rsidP="0047520C">
    <w:pPr>
      <w:rPr>
        <w:rFonts w:cs="Arial"/>
        <w:sz w:val="18"/>
        <w:szCs w:val="18"/>
      </w:rPr>
    </w:pPr>
  </w:p>
  <w:p w14:paraId="149C9163" w14:textId="77777777" w:rsidR="00FF57C4" w:rsidRPr="0047520C" w:rsidRDefault="00FF57C4" w:rsidP="0047520C">
    <w:pPr>
      <w:rPr>
        <w:rFonts w:cs="Arial"/>
        <w:sz w:val="18"/>
        <w:szCs w:val="18"/>
      </w:rPr>
    </w:pPr>
    <w:r w:rsidRPr="00825B17">
      <w:rPr>
        <w:noProof/>
        <w:lang w:eastAsia="en-AU"/>
      </w:rPr>
      <w:drawing>
        <wp:anchor distT="0" distB="0" distL="114300" distR="114300" simplePos="0" relativeHeight="251674624" behindDoc="0" locked="1" layoutInCell="1" allowOverlap="1" wp14:anchorId="2FB681FF" wp14:editId="07A5DC65">
          <wp:simplePos x="0" y="0"/>
          <wp:positionH relativeFrom="column">
            <wp:posOffset>4533900</wp:posOffset>
          </wp:positionH>
          <wp:positionV relativeFrom="page">
            <wp:posOffset>9209405</wp:posOffset>
          </wp:positionV>
          <wp:extent cx="2235835" cy="1259840"/>
          <wp:effectExtent l="0" t="0" r="0" b="0"/>
          <wp:wrapNone/>
          <wp:docPr id="11" name="Picture 11"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ibraries:PIRSA:Logos:PIRSA:Lockup:PNG:PIRSA Lockup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233C" w14:textId="77777777" w:rsidR="00FF57C4" w:rsidRPr="0047520C" w:rsidRDefault="00FF57C4" w:rsidP="0047520C">
    <w:pPr>
      <w:rPr>
        <w:rFonts w:cs="Arial"/>
        <w:sz w:val="18"/>
        <w:szCs w:val="18"/>
      </w:rPr>
    </w:pPr>
  </w:p>
  <w:p w14:paraId="758CA9A5" w14:textId="77777777" w:rsidR="00FF57C4" w:rsidRPr="0047520C" w:rsidRDefault="00FF57C4" w:rsidP="0047520C">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DE03" w14:textId="77777777" w:rsidR="001767C3" w:rsidRDefault="001767C3" w:rsidP="00CB0DB5">
      <w:r>
        <w:separator/>
      </w:r>
    </w:p>
  </w:footnote>
  <w:footnote w:type="continuationSeparator" w:id="0">
    <w:p w14:paraId="2B8C8769" w14:textId="77777777" w:rsidR="001767C3" w:rsidRDefault="001767C3"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530A" w14:textId="77777777" w:rsidR="00FF57C4" w:rsidRDefault="00FF57C4">
    <w:pPr>
      <w:pStyle w:val="Header"/>
    </w:pPr>
    <w:r>
      <w:rPr>
        <w:noProof/>
        <w:lang w:eastAsia="en-AU"/>
      </w:rPr>
      <w:drawing>
        <wp:anchor distT="0" distB="360045" distL="114300" distR="114300" simplePos="0" relativeHeight="251676672" behindDoc="1" locked="1" layoutInCell="1" allowOverlap="1" wp14:anchorId="538818EF" wp14:editId="27317732">
          <wp:simplePos x="0" y="0"/>
          <wp:positionH relativeFrom="margin">
            <wp:posOffset>-362585</wp:posOffset>
          </wp:positionH>
          <wp:positionV relativeFrom="page">
            <wp:posOffset>182880</wp:posOffset>
          </wp:positionV>
          <wp:extent cx="7192645" cy="4791075"/>
          <wp:effectExtent l="0" t="0" r="8255" b="9525"/>
          <wp:wrapTopAndBottom/>
          <wp:docPr id="4" name="Picture 4"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A4 Document Half Cover Header.png"/>
                  <pic:cNvPicPr/>
                </pic:nvPicPr>
                <pic:blipFill>
                  <a:blip r:embed="rId1">
                    <a:extLst>
                      <a:ext uri="{28A0092B-C50C-407E-A947-70E740481C1C}">
                        <a14:useLocalDpi xmlns:a14="http://schemas.microsoft.com/office/drawing/2010/main" val="0"/>
                      </a:ext>
                    </a:extLst>
                  </a:blip>
                  <a:stretch>
                    <a:fillRect/>
                  </a:stretch>
                </pic:blipFill>
                <pic:spPr>
                  <a:xfrm>
                    <a:off x="0" y="0"/>
                    <a:ext cx="7192645" cy="4791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EAAE" w14:textId="77777777" w:rsidR="00FF57C4" w:rsidRDefault="00FF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BDE"/>
    <w:multiLevelType w:val="hybridMultilevel"/>
    <w:tmpl w:val="EAD459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9503A"/>
    <w:multiLevelType w:val="hybridMultilevel"/>
    <w:tmpl w:val="B6C2A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A0158"/>
    <w:multiLevelType w:val="hybridMultilevel"/>
    <w:tmpl w:val="8918D0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D3AA9"/>
    <w:multiLevelType w:val="multilevel"/>
    <w:tmpl w:val="39A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35884"/>
    <w:multiLevelType w:val="hybridMultilevel"/>
    <w:tmpl w:val="1896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F019FE"/>
    <w:multiLevelType w:val="hybridMultilevel"/>
    <w:tmpl w:val="DAB0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CC03C2"/>
    <w:multiLevelType w:val="hybridMultilevel"/>
    <w:tmpl w:val="027A6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0E0E9C"/>
    <w:multiLevelType w:val="hybridMultilevel"/>
    <w:tmpl w:val="FB6E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4"/>
  </w:num>
  <w:num w:numId="6">
    <w:abstractNumId w:val="3"/>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85"/>
    <w:rsid w:val="00004F80"/>
    <w:rsid w:val="00024873"/>
    <w:rsid w:val="00025E04"/>
    <w:rsid w:val="00066C1C"/>
    <w:rsid w:val="000827E0"/>
    <w:rsid w:val="000A78D0"/>
    <w:rsid w:val="000B42DE"/>
    <w:rsid w:val="000B4C5F"/>
    <w:rsid w:val="000D0F86"/>
    <w:rsid w:val="000D4B1E"/>
    <w:rsid w:val="000D518F"/>
    <w:rsid w:val="000E24A8"/>
    <w:rsid w:val="00150B02"/>
    <w:rsid w:val="00155EAA"/>
    <w:rsid w:val="00160A57"/>
    <w:rsid w:val="001767C3"/>
    <w:rsid w:val="001E2E8E"/>
    <w:rsid w:val="001E662C"/>
    <w:rsid w:val="001E7CAC"/>
    <w:rsid w:val="001F4ADF"/>
    <w:rsid w:val="00216BCE"/>
    <w:rsid w:val="00240554"/>
    <w:rsid w:val="00244151"/>
    <w:rsid w:val="00270775"/>
    <w:rsid w:val="0027094B"/>
    <w:rsid w:val="002831AF"/>
    <w:rsid w:val="002943D1"/>
    <w:rsid w:val="002B0FF2"/>
    <w:rsid w:val="002B6267"/>
    <w:rsid w:val="002B6D85"/>
    <w:rsid w:val="002D38FF"/>
    <w:rsid w:val="003033DB"/>
    <w:rsid w:val="00332AE0"/>
    <w:rsid w:val="00343BFB"/>
    <w:rsid w:val="00350D84"/>
    <w:rsid w:val="00384A3E"/>
    <w:rsid w:val="0039156D"/>
    <w:rsid w:val="003929AF"/>
    <w:rsid w:val="003B0BD2"/>
    <w:rsid w:val="003B123B"/>
    <w:rsid w:val="003D60FB"/>
    <w:rsid w:val="003E4F12"/>
    <w:rsid w:val="003F7C39"/>
    <w:rsid w:val="00421F50"/>
    <w:rsid w:val="00422C94"/>
    <w:rsid w:val="0042473A"/>
    <w:rsid w:val="0047520C"/>
    <w:rsid w:val="004821D9"/>
    <w:rsid w:val="004C13AC"/>
    <w:rsid w:val="004D0B32"/>
    <w:rsid w:val="004D2B06"/>
    <w:rsid w:val="004E371C"/>
    <w:rsid w:val="0051486F"/>
    <w:rsid w:val="00535C89"/>
    <w:rsid w:val="00537104"/>
    <w:rsid w:val="0054400A"/>
    <w:rsid w:val="00565378"/>
    <w:rsid w:val="0056637E"/>
    <w:rsid w:val="00567E4E"/>
    <w:rsid w:val="005C7B03"/>
    <w:rsid w:val="005E4D39"/>
    <w:rsid w:val="005F32CB"/>
    <w:rsid w:val="0060680D"/>
    <w:rsid w:val="00615E1A"/>
    <w:rsid w:val="00616B88"/>
    <w:rsid w:val="0061767E"/>
    <w:rsid w:val="00625F0A"/>
    <w:rsid w:val="00646D3E"/>
    <w:rsid w:val="00650F3C"/>
    <w:rsid w:val="00663B7D"/>
    <w:rsid w:val="00677ABD"/>
    <w:rsid w:val="006B19BF"/>
    <w:rsid w:val="006B7AED"/>
    <w:rsid w:val="006C7F74"/>
    <w:rsid w:val="006F4F2C"/>
    <w:rsid w:val="0070713B"/>
    <w:rsid w:val="0071402D"/>
    <w:rsid w:val="00715570"/>
    <w:rsid w:val="0073648B"/>
    <w:rsid w:val="007413D0"/>
    <w:rsid w:val="00745187"/>
    <w:rsid w:val="00790B9E"/>
    <w:rsid w:val="00795D73"/>
    <w:rsid w:val="007C69D4"/>
    <w:rsid w:val="007E2CF9"/>
    <w:rsid w:val="007F04A9"/>
    <w:rsid w:val="007F45EF"/>
    <w:rsid w:val="008112D2"/>
    <w:rsid w:val="00813D73"/>
    <w:rsid w:val="00825FB5"/>
    <w:rsid w:val="008434F2"/>
    <w:rsid w:val="00843748"/>
    <w:rsid w:val="00861FBE"/>
    <w:rsid w:val="008824D4"/>
    <w:rsid w:val="0089299B"/>
    <w:rsid w:val="008940C0"/>
    <w:rsid w:val="008B5AF1"/>
    <w:rsid w:val="008D1E78"/>
    <w:rsid w:val="008E34A2"/>
    <w:rsid w:val="008F1CB7"/>
    <w:rsid w:val="008F3871"/>
    <w:rsid w:val="008F6A81"/>
    <w:rsid w:val="00922FA3"/>
    <w:rsid w:val="00923507"/>
    <w:rsid w:val="0093489C"/>
    <w:rsid w:val="00945C4E"/>
    <w:rsid w:val="00950533"/>
    <w:rsid w:val="00962053"/>
    <w:rsid w:val="00963305"/>
    <w:rsid w:val="00993264"/>
    <w:rsid w:val="009A79C6"/>
    <w:rsid w:val="009C6EF4"/>
    <w:rsid w:val="009E19A2"/>
    <w:rsid w:val="009F108A"/>
    <w:rsid w:val="00A00499"/>
    <w:rsid w:val="00A03324"/>
    <w:rsid w:val="00A11183"/>
    <w:rsid w:val="00A3066F"/>
    <w:rsid w:val="00A33F16"/>
    <w:rsid w:val="00A35D3F"/>
    <w:rsid w:val="00A37BA8"/>
    <w:rsid w:val="00A41BFB"/>
    <w:rsid w:val="00A83B1D"/>
    <w:rsid w:val="00A973FA"/>
    <w:rsid w:val="00AA5CF9"/>
    <w:rsid w:val="00AB329D"/>
    <w:rsid w:val="00AB72F1"/>
    <w:rsid w:val="00AC207D"/>
    <w:rsid w:val="00AE591E"/>
    <w:rsid w:val="00AF5961"/>
    <w:rsid w:val="00AF5DA3"/>
    <w:rsid w:val="00AF782E"/>
    <w:rsid w:val="00B2037C"/>
    <w:rsid w:val="00B26C73"/>
    <w:rsid w:val="00BD0038"/>
    <w:rsid w:val="00BD6B13"/>
    <w:rsid w:val="00BE208C"/>
    <w:rsid w:val="00BE76A8"/>
    <w:rsid w:val="00BF2658"/>
    <w:rsid w:val="00C06840"/>
    <w:rsid w:val="00C56187"/>
    <w:rsid w:val="00C81F77"/>
    <w:rsid w:val="00C832B8"/>
    <w:rsid w:val="00CA23CD"/>
    <w:rsid w:val="00CB0DB5"/>
    <w:rsid w:val="00CB4166"/>
    <w:rsid w:val="00CD73B5"/>
    <w:rsid w:val="00CD78ED"/>
    <w:rsid w:val="00CF41DB"/>
    <w:rsid w:val="00D0764B"/>
    <w:rsid w:val="00D17AAC"/>
    <w:rsid w:val="00D53432"/>
    <w:rsid w:val="00D827C3"/>
    <w:rsid w:val="00D94992"/>
    <w:rsid w:val="00DE64E0"/>
    <w:rsid w:val="00DE7A2B"/>
    <w:rsid w:val="00DF4944"/>
    <w:rsid w:val="00DF51FA"/>
    <w:rsid w:val="00E001A0"/>
    <w:rsid w:val="00E11751"/>
    <w:rsid w:val="00E155FE"/>
    <w:rsid w:val="00E44445"/>
    <w:rsid w:val="00E46F3A"/>
    <w:rsid w:val="00E56A76"/>
    <w:rsid w:val="00E67923"/>
    <w:rsid w:val="00E75582"/>
    <w:rsid w:val="00E767F0"/>
    <w:rsid w:val="00E92898"/>
    <w:rsid w:val="00E9454B"/>
    <w:rsid w:val="00E979F9"/>
    <w:rsid w:val="00EB6A6D"/>
    <w:rsid w:val="00EB6BDE"/>
    <w:rsid w:val="00EC27F6"/>
    <w:rsid w:val="00ED4F37"/>
    <w:rsid w:val="00EE25F4"/>
    <w:rsid w:val="00F10096"/>
    <w:rsid w:val="00F34A01"/>
    <w:rsid w:val="00F40F88"/>
    <w:rsid w:val="00F45A96"/>
    <w:rsid w:val="00F53DC9"/>
    <w:rsid w:val="00F62F9A"/>
    <w:rsid w:val="00F65643"/>
    <w:rsid w:val="00F92564"/>
    <w:rsid w:val="00F93240"/>
    <w:rsid w:val="00F946C8"/>
    <w:rsid w:val="00F952DF"/>
    <w:rsid w:val="00FD3837"/>
    <w:rsid w:val="00FF5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C498"/>
  <w15:chartTrackingRefBased/>
  <w15:docId w15:val="{3868D660-973B-4E47-BDB5-8BB83B93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3B123B"/>
    <w:pPr>
      <w:spacing w:line="720" w:lineRule="exact"/>
      <w:contextualSpacing/>
    </w:pPr>
    <w:rPr>
      <w:rFonts w:eastAsiaTheme="majorEastAsia" w:cstheme="majorBidi"/>
      <w:b/>
      <w:bCs/>
      <w:color w:val="00427A"/>
      <w:kern w:val="28"/>
      <w:sz w:val="60"/>
      <w:szCs w:val="84"/>
      <w:lang w:val="en-US" w:eastAsia="ja-JP"/>
    </w:rPr>
  </w:style>
  <w:style w:type="character" w:customStyle="1" w:styleId="TitleChar">
    <w:name w:val="Title Char"/>
    <w:basedOn w:val="DefaultParagraphFont"/>
    <w:link w:val="Title"/>
    <w:uiPriority w:val="10"/>
    <w:rsid w:val="003B123B"/>
    <w:rPr>
      <w:rFonts w:ascii="Arial" w:eastAsiaTheme="majorEastAsia" w:hAnsi="Arial" w:cstheme="majorBidi"/>
      <w:b/>
      <w:bCs/>
      <w:color w:val="00427A"/>
      <w:kern w:val="28"/>
      <w:sz w:val="60"/>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TOC2">
    <w:name w:val="toc 2"/>
    <w:basedOn w:val="Normal"/>
    <w:next w:val="Normal"/>
    <w:autoRedefine/>
    <w:uiPriority w:val="39"/>
    <w:unhideWhenUsed/>
    <w:rsid w:val="00E46F3A"/>
    <w:pPr>
      <w:spacing w:before="120" w:after="220"/>
      <w:ind w:left="221"/>
    </w:pPr>
  </w:style>
  <w:style w:type="paragraph" w:styleId="TOC1">
    <w:name w:val="toc 1"/>
    <w:basedOn w:val="Normal"/>
    <w:next w:val="Normal"/>
    <w:autoRedefine/>
    <w:uiPriority w:val="39"/>
    <w:unhideWhenUsed/>
    <w:rsid w:val="00E46F3A"/>
    <w:pPr>
      <w:tabs>
        <w:tab w:val="right" w:leader="dot" w:pos="10188"/>
      </w:tabs>
      <w:spacing w:before="120" w:line="360" w:lineRule="exact"/>
    </w:pPr>
    <w:rPr>
      <w:rFonts w:cs="Times New Roman (Body CS)"/>
      <w:noProof/>
      <w:color w:val="00427A"/>
      <w:sz w:val="24"/>
    </w:rPr>
  </w:style>
  <w:style w:type="paragraph" w:styleId="TOC3">
    <w:name w:val="toc 3"/>
    <w:basedOn w:val="Normal"/>
    <w:next w:val="Normal"/>
    <w:autoRedefine/>
    <w:uiPriority w:val="39"/>
    <w:unhideWhenUsed/>
    <w:rsid w:val="00E46F3A"/>
    <w:pPr>
      <w:spacing w:before="120" w:after="220"/>
      <w:ind w:left="440"/>
    </w:pPr>
  </w:style>
  <w:style w:type="character" w:styleId="Hyperlink">
    <w:name w:val="Hyperlink"/>
    <w:basedOn w:val="DefaultParagraphFont"/>
    <w:uiPriority w:val="99"/>
    <w:unhideWhenUsed/>
    <w:rsid w:val="000B4C5F"/>
    <w:rPr>
      <w:color w:val="0563C1" w:themeColor="hyperlink"/>
      <w:u w:val="single"/>
    </w:rPr>
  </w:style>
  <w:style w:type="character" w:customStyle="1" w:styleId="UnresolvedMention">
    <w:name w:val="Unresolved Mention"/>
    <w:basedOn w:val="DefaultParagraphFont"/>
    <w:uiPriority w:val="99"/>
    <w:semiHidden/>
    <w:unhideWhenUsed/>
    <w:rsid w:val="008940C0"/>
    <w:rPr>
      <w:color w:val="605E5C"/>
      <w:shd w:val="clear" w:color="auto" w:fill="E1DFDD"/>
    </w:rPr>
  </w:style>
  <w:style w:type="paragraph" w:styleId="ListParagraph">
    <w:name w:val="List Paragraph"/>
    <w:basedOn w:val="Normal"/>
    <w:uiPriority w:val="34"/>
    <w:qFormat/>
    <w:rsid w:val="008112D2"/>
    <w:pPr>
      <w:spacing w:after="160" w:line="259" w:lineRule="auto"/>
      <w:ind w:left="720"/>
      <w:contextualSpacing/>
    </w:pPr>
    <w:rPr>
      <w:rFonts w:asciiTheme="minorHAnsi" w:hAnsiTheme="minorHAnsi"/>
      <w:szCs w:val="22"/>
    </w:rPr>
  </w:style>
  <w:style w:type="character" w:styleId="CommentReference">
    <w:name w:val="annotation reference"/>
    <w:basedOn w:val="DefaultParagraphFont"/>
    <w:uiPriority w:val="99"/>
    <w:semiHidden/>
    <w:unhideWhenUsed/>
    <w:rsid w:val="0061767E"/>
    <w:rPr>
      <w:sz w:val="16"/>
      <w:szCs w:val="16"/>
    </w:rPr>
  </w:style>
  <w:style w:type="paragraph" w:styleId="CommentText">
    <w:name w:val="annotation text"/>
    <w:basedOn w:val="Normal"/>
    <w:link w:val="CommentTextChar"/>
    <w:uiPriority w:val="99"/>
    <w:semiHidden/>
    <w:unhideWhenUsed/>
    <w:rsid w:val="0061767E"/>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1767E"/>
    <w:rPr>
      <w:sz w:val="20"/>
      <w:szCs w:val="20"/>
    </w:rPr>
  </w:style>
  <w:style w:type="character" w:styleId="FollowedHyperlink">
    <w:name w:val="FollowedHyperlink"/>
    <w:basedOn w:val="DefaultParagraphFont"/>
    <w:uiPriority w:val="99"/>
    <w:semiHidden/>
    <w:unhideWhenUsed/>
    <w:rsid w:val="00A1118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6840"/>
    <w:pPr>
      <w:spacing w:after="0"/>
    </w:pPr>
    <w:rPr>
      <w:rFonts w:ascii="Arial" w:hAnsi="Arial"/>
      <w:b/>
      <w:bCs/>
    </w:rPr>
  </w:style>
  <w:style w:type="character" w:customStyle="1" w:styleId="CommentSubjectChar">
    <w:name w:val="Comment Subject Char"/>
    <w:basedOn w:val="CommentTextChar"/>
    <w:link w:val="CommentSubject"/>
    <w:uiPriority w:val="99"/>
    <w:semiHidden/>
    <w:rsid w:val="00C0684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1789">
      <w:bodyDiv w:val="1"/>
      <w:marLeft w:val="0"/>
      <w:marRight w:val="0"/>
      <w:marTop w:val="0"/>
      <w:marBottom w:val="0"/>
      <w:divBdr>
        <w:top w:val="none" w:sz="0" w:space="0" w:color="auto"/>
        <w:left w:val="none" w:sz="0" w:space="0" w:color="auto"/>
        <w:bottom w:val="none" w:sz="0" w:space="0" w:color="auto"/>
        <w:right w:val="none" w:sz="0" w:space="0" w:color="auto"/>
      </w:divBdr>
    </w:div>
    <w:div w:id="13195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https://www.pir.sa.gov.au/__data/assets/pdf_file/0010/348193/Consultation_Paper_final.pdf" TargetMode="External"/><Relationship Id="rId3" Type="http://schemas.openxmlformats.org/officeDocument/2006/relationships/customXml" Target="../customXml/item3.xml"/><Relationship Id="rId21" Type="http://schemas.openxmlformats.org/officeDocument/2006/relationships/hyperlink" Target="http://www.pir.sa.gov.au/fishingrefor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ir.sa.gov.au/__data/assets/pdf_file/0010/348193/Consultation_Paper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pir.sa.gov.au/fishingreform" TargetMode="External"/><Relationship Id="rId10" Type="http://schemas.openxmlformats.org/officeDocument/2006/relationships/footnotes" Target="footnotes.xml"/><Relationship Id="rId19" Type="http://schemas.openxmlformats.org/officeDocument/2006/relationships/hyperlink" Target="mailto:https://www.pir.sa.gov.au/__data/assets/pdf_file/0010/348193/Consultation_Paper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MSF.Reform@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bjCache\objectivep.pirsa.sa.gov.au-8008-wilsot20\Objects\PIRSA%20Template%20A4%20Document%20Word%20Half%20Cover%20Blue%20Sol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2" ma:contentTypeDescription="Create a new document." ma:contentTypeScope="" ma:versionID="ca1b26c17ab2a4cb035a5c4c14f0fe40">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03d1ff8fa73df0768e0b49fa81bc804e"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3D2A87C8A9941445E0533AF0780A13BC" version="1.0.0">
  <systemFields>
    <field name="Objective-Id">
      <value order="0">A4074519</value>
    </field>
    <field name="Objective-Title">
      <value order="0">PIRSA Template A4 Document Word Half Cover Blue Solid</value>
    </field>
    <field name="Objective-Description">
      <value order="0"/>
    </field>
    <field name="Objective-CreationStamp">
      <value order="0">2019-06-22T12:20:39Z</value>
    </field>
    <field name="Objective-IsApproved">
      <value order="0">false</value>
    </field>
    <field name="Objective-IsPublished">
      <value order="0">true</value>
    </field>
    <field name="Objective-DatePublished">
      <value order="0">2019-07-22T04:05:28Z</value>
    </field>
    <field name="Objective-ModificationStamp">
      <value order="0">2020-03-10T05:53:37Z</value>
    </field>
    <field name="Objective-Owner">
      <value order="0">Robinson, Meredith</value>
    </field>
    <field name="Objective-Path">
      <value order="0">Global Folder:01 Agriculture Food &amp; Wine:Agriculture Food &amp; Wine Governance:Program Operations:AGRICULTURE FOOD &amp; WINE GOVERNANCE - Program Operations - Marketing and Engagement:Corporate marketing and branding:2019 Brand Update - June - TEMPLATES:1. PIRSA TEMPLATES:PIRSA Template - Multi-page Document A4:Blue templates:Solid Brandmark</value>
    </field>
    <field name="Objective-Parent">
      <value order="0">Solid Brandmark</value>
    </field>
    <field name="Objective-State">
      <value order="0">Published</value>
    </field>
    <field name="Objective-VersionId">
      <value order="0">vA6735192</value>
    </field>
    <field name="Objective-Version">
      <value order="0">2.0</value>
    </field>
    <field name="Objective-VersionNumber">
      <value order="0">5</value>
    </field>
    <field name="Objective-VersionComment">
      <value order="0">updated to include website in front matter</value>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https://objectivesag.pirsa.sa.gov.au/id:A4074519/document/versions/published</value>
      </field>
      <field name="Objective-Intranet URL Keyword">
        <value order="0">%globals_asset_metadata_PublishedURL%</value>
      </field>
      <field name="Objective-Intranet Short Name">
        <value order="0">A4074519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C021-0780-4733-AF46-E550C37F6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3.xml><?xml version="1.0" encoding="utf-8"?>
<ds:datastoreItem xmlns:ds="http://schemas.openxmlformats.org/officeDocument/2006/customXml" ds:itemID="{485CAED5-5D7A-4CBA-800A-01D14712C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2A4D2-FF19-4236-A9AC-6964DE854CFE}">
  <ds:schemaRefs>
    <ds:schemaRef ds:uri="http://schemas.microsoft.com/sharepoint/v3/contenttype/forms"/>
  </ds:schemaRefs>
</ds:datastoreItem>
</file>

<file path=customXml/itemProps5.xml><?xml version="1.0" encoding="utf-8"?>
<ds:datastoreItem xmlns:ds="http://schemas.openxmlformats.org/officeDocument/2006/customXml" ds:itemID="{E027BE63-2B68-43CD-B215-73D22F8C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PIRSA Template A4 Document Word Half Cover Blue Solid.dotx</Template>
  <TotalTime>2</TotalTime>
  <Pages>7</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 Wilson</dc:creator>
  <cp:keywords/>
  <dc:description/>
  <cp:lastModifiedBy>Tsoukalas, Joanna (PIRSA)</cp:lastModifiedBy>
  <cp:revision>6</cp:revision>
  <dcterms:created xsi:type="dcterms:W3CDTF">2020-06-19T08:12:00Z</dcterms:created>
  <dcterms:modified xsi:type="dcterms:W3CDTF">2020-06-19T08:14:00Z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A4074519</vt:lpwstr>
  </property>
  <property fmtid="{D5CDD505-2E9C-101B-9397-08002B2CF9AE}" pid="4" name="Objective-Title">
    <vt:lpwstr>PIRSA Template A4 Document Word Half Cover Blue Solid</vt:lpwstr>
  </property>
  <property fmtid="{D5CDD505-2E9C-101B-9397-08002B2CF9AE}" pid="5" name="Objective-Description">
    <vt:lpwstr/>
  </property>
  <property fmtid="{D5CDD505-2E9C-101B-9397-08002B2CF9AE}" pid="6" name="Objective-CreationStamp">
    <vt:filetime>2019-06-24T12:10:33Z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2019-07-22T04:05:28Z</vt:filetime>
  </property>
  <property fmtid="{D5CDD505-2E9C-101B-9397-08002B2CF9AE}" pid="10" name="Objective-ModificationStamp">
    <vt:filetime>2020-03-10T05:53:37Z</vt:filetime>
  </property>
  <property fmtid="{D5CDD505-2E9C-101B-9397-08002B2CF9AE}" pid="11" name="Objective-Owner">
    <vt:lpwstr>Robinson, Meredith</vt:lpwstr>
  </property>
  <property fmtid="{D5CDD505-2E9C-101B-9397-08002B2CF9AE}" pid="12" name="Objective-Path">
    <vt:lpwstr>Global Folder:01 Agriculture Food &amp; Wine:Agriculture Food &amp; Wine Governance:Program Operations:AGRICULTURE FOOD &amp; WINE GOVERNANCE - Program Operations - Marketing and Engagement:Corporate marketing and branding:2019 Brand Update - June - TEMPLATES:1. PIRS</vt:lpwstr>
  </property>
  <property fmtid="{D5CDD505-2E9C-101B-9397-08002B2CF9AE}" pid="13" name="Objective-Parent">
    <vt:lpwstr>Solid Brandmark</vt:lpwstr>
  </property>
  <property fmtid="{D5CDD505-2E9C-101B-9397-08002B2CF9AE}" pid="14" name="Objective-State">
    <vt:lpwstr>Published</vt:lpwstr>
  </property>
  <property fmtid="{D5CDD505-2E9C-101B-9397-08002B2CF9AE}" pid="15" name="Objective-VersionId">
    <vt:lpwstr>vA6735192</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updated to include website in front matter</vt:lpwstr>
  </property>
  <property fmtid="{D5CDD505-2E9C-101B-9397-08002B2CF9AE}" pid="19" name="Objective-FileNumber">
    <vt:lpwstr>CEO F2016/000049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https://objectivesag.pirsa.sa.gov.au/id:A4074519/document/versions/published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A4074519</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https://objectivesag.pirsa.sa.gov.au/id:A4074519/document/versions/published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A4074519</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ontentTypeId">
    <vt:lpwstr>0x0101007FA749C84F7CD24ABD4EFD71B8F8849D</vt:lpwstr>
  </property>
</Properties>
</file>