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169D9" w14:textId="0FA54269" w:rsidR="00405C59" w:rsidRPr="00061032" w:rsidRDefault="00405C59" w:rsidP="00061032">
      <w:pPr>
        <w:widowControl w:val="0"/>
        <w:spacing w:after="180" w:line="276" w:lineRule="auto"/>
        <w:rPr>
          <w:rFonts w:ascii="Arial" w:eastAsia="Century Schoolbook" w:hAnsi="Arial" w:cs="Arial"/>
          <w:b/>
          <w:bCs/>
          <w:color w:val="2F5496" w:themeColor="accent1" w:themeShade="BF"/>
          <w:sz w:val="32"/>
          <w:szCs w:val="32"/>
          <w:lang w:val="en-US"/>
        </w:rPr>
      </w:pPr>
      <w:r w:rsidRPr="00061032">
        <w:rPr>
          <w:rFonts w:ascii="Arial" w:eastAsia="Century Schoolbook" w:hAnsi="Arial" w:cs="Arial"/>
          <w:b/>
          <w:bCs/>
          <w:color w:val="2F5496" w:themeColor="accent1" w:themeShade="BF"/>
          <w:sz w:val="32"/>
          <w:szCs w:val="32"/>
          <w:lang w:val="en-US"/>
        </w:rPr>
        <w:t>PHYLLOXERA BILL.1911</w:t>
      </w:r>
    </w:p>
    <w:p w14:paraId="6094BC3A" w14:textId="1029865B" w:rsidR="00405C59" w:rsidRPr="00061032" w:rsidRDefault="00405C59" w:rsidP="00061032">
      <w:pPr>
        <w:widowControl w:val="0"/>
        <w:spacing w:after="180" w:line="276" w:lineRule="auto"/>
        <w:rPr>
          <w:rFonts w:ascii="Arial" w:eastAsia="Century Schoolbook" w:hAnsi="Arial" w:cs="Arial"/>
          <w:b/>
          <w:bCs/>
          <w:color w:val="2F5496" w:themeColor="accent1" w:themeShade="BF"/>
          <w:sz w:val="28"/>
          <w:szCs w:val="28"/>
          <w:lang w:val="en-US"/>
        </w:rPr>
      </w:pPr>
      <w:r w:rsidRPr="00061032">
        <w:rPr>
          <w:rFonts w:ascii="Arial" w:eastAsia="Century Schoolbook" w:hAnsi="Arial" w:cs="Arial"/>
          <w:b/>
          <w:bCs/>
          <w:color w:val="2F5496" w:themeColor="accent1" w:themeShade="BF"/>
          <w:sz w:val="28"/>
          <w:szCs w:val="28"/>
          <w:lang w:val="en-US"/>
        </w:rPr>
        <w:t>House of Assembly, 7 September 1911, page 454</w:t>
      </w:r>
    </w:p>
    <w:p w14:paraId="51D6A012" w14:textId="1DF68A9E" w:rsidR="00405C59" w:rsidRPr="00061032" w:rsidRDefault="00405C59" w:rsidP="00061032">
      <w:pPr>
        <w:widowControl w:val="0"/>
        <w:spacing w:after="77" w:line="276" w:lineRule="auto"/>
        <w:rPr>
          <w:rFonts w:ascii="Arial" w:eastAsia="Century Schoolbook" w:hAnsi="Arial" w:cs="Arial"/>
          <w:color w:val="2F5496" w:themeColor="accent1" w:themeShade="BF"/>
          <w:sz w:val="28"/>
          <w:szCs w:val="28"/>
          <w:lang w:val="en-US"/>
        </w:rPr>
      </w:pPr>
      <w:r w:rsidRPr="00061032">
        <w:rPr>
          <w:rFonts w:ascii="Arial" w:eastAsia="Century Schoolbook" w:hAnsi="Arial" w:cs="Arial"/>
          <w:color w:val="2F5496" w:themeColor="accent1" w:themeShade="BF"/>
          <w:sz w:val="28"/>
          <w:szCs w:val="28"/>
          <w:lang w:val="en-US"/>
        </w:rPr>
        <w:t>Second reading</w:t>
      </w:r>
    </w:p>
    <w:p w14:paraId="4EAE4BF8" w14:textId="77777777" w:rsidR="00061032" w:rsidRDefault="00061032" w:rsidP="00061032">
      <w:pPr>
        <w:widowControl w:val="0"/>
        <w:spacing w:after="0" w:line="276" w:lineRule="auto"/>
        <w:ind w:right="140"/>
        <w:rPr>
          <w:rFonts w:ascii="Arial" w:eastAsia="Century Schoolbook" w:hAnsi="Arial" w:cs="Arial"/>
          <w:sz w:val="24"/>
          <w:szCs w:val="24"/>
          <w:lang w:val="en-US"/>
        </w:rPr>
      </w:pPr>
    </w:p>
    <w:p w14:paraId="4DDA33B3" w14:textId="3833416C" w:rsidR="007D7483" w:rsidRPr="00A205CF" w:rsidRDefault="00405C59" w:rsidP="00A205CF">
      <w:pPr>
        <w:widowControl w:val="0"/>
        <w:spacing w:after="0" w:line="276" w:lineRule="auto"/>
        <w:ind w:right="140"/>
        <w:rPr>
          <w:rFonts w:ascii="Arial" w:eastAsia="Century Schoolbook" w:hAnsi="Arial" w:cs="Arial"/>
          <w:sz w:val="24"/>
          <w:szCs w:val="24"/>
          <w:lang w:val="en-US"/>
        </w:rPr>
      </w:pPr>
      <w:r w:rsidRPr="00061032">
        <w:rPr>
          <w:rFonts w:ascii="Arial" w:eastAsia="Century Schoolbook" w:hAnsi="Arial" w:cs="Arial"/>
          <w:b/>
          <w:bCs/>
          <w:sz w:val="24"/>
          <w:szCs w:val="24"/>
          <w:lang w:val="en-US"/>
        </w:rPr>
        <w:t>The ATTORNEY-GENERAL</w:t>
      </w:r>
      <w:r w:rsidRPr="00061032">
        <w:rPr>
          <w:rFonts w:ascii="Arial" w:eastAsia="Century Schoolbook" w:hAnsi="Arial" w:cs="Arial"/>
          <w:sz w:val="24"/>
          <w:szCs w:val="24"/>
          <w:lang w:val="en-US"/>
        </w:rPr>
        <w:t xml:space="preserve">, in moving the second reading, said the Bill provided for several amendments of the Phylloxera Act, 1899, which had been asked for by the Phylloxera Board constituted by that Act. </w:t>
      </w:r>
      <w:r w:rsidR="00061032">
        <w:rPr>
          <w:rFonts w:ascii="Arial" w:eastAsia="Century Schoolbook" w:hAnsi="Arial" w:cs="Arial"/>
          <w:sz w:val="24"/>
          <w:szCs w:val="24"/>
          <w:lang w:val="en-US"/>
        </w:rPr>
        <w:t xml:space="preserve"> </w:t>
      </w:r>
      <w:r w:rsidRPr="00061032">
        <w:rPr>
          <w:rFonts w:ascii="Arial" w:eastAsia="Century Schoolbook" w:hAnsi="Arial" w:cs="Arial"/>
          <w:sz w:val="24"/>
          <w:szCs w:val="24"/>
          <w:lang w:val="en-US"/>
        </w:rPr>
        <w:t>The first matter dealt with was the vignerons’ roll, which was the subject matter of sections 14 to 18 of the Act.</w:t>
      </w:r>
      <w:r w:rsidR="00061032">
        <w:rPr>
          <w:rFonts w:ascii="Arial" w:eastAsia="Century Schoolbook" w:hAnsi="Arial" w:cs="Arial"/>
          <w:sz w:val="24"/>
          <w:szCs w:val="24"/>
          <w:lang w:val="en-US"/>
        </w:rPr>
        <w:t xml:space="preserve"> </w:t>
      </w:r>
      <w:r w:rsidRPr="00061032">
        <w:rPr>
          <w:rFonts w:ascii="Arial" w:eastAsia="Century Schoolbook" w:hAnsi="Arial" w:cs="Arial"/>
          <w:sz w:val="24"/>
          <w:szCs w:val="24"/>
          <w:lang w:val="en-US"/>
        </w:rPr>
        <w:t xml:space="preserve"> Section 15 required the board to compile a roll containing the particulars comprised in returns made by owners of vineyards and to exhibit the roll at every district council office. </w:t>
      </w:r>
      <w:r w:rsidR="00061032">
        <w:rPr>
          <w:rFonts w:ascii="Arial" w:eastAsia="Century Schoolbook" w:hAnsi="Arial" w:cs="Arial"/>
          <w:sz w:val="24"/>
          <w:szCs w:val="24"/>
          <w:lang w:val="en-US"/>
        </w:rPr>
        <w:t xml:space="preserve"> </w:t>
      </w:r>
      <w:r w:rsidRPr="00061032">
        <w:rPr>
          <w:rFonts w:ascii="Arial" w:eastAsia="Century Schoolbook" w:hAnsi="Arial" w:cs="Arial"/>
          <w:sz w:val="24"/>
          <w:szCs w:val="24"/>
          <w:lang w:val="en-US"/>
        </w:rPr>
        <w:t>The roll was required to be revised and amended from year to year. The board advised that the exhibiting of the roll at every district council office was expensive, and it was found that the information contained therein was rarely made use of by vignerons.</w:t>
      </w:r>
      <w:r w:rsidR="00061032">
        <w:rPr>
          <w:rFonts w:ascii="Arial" w:eastAsia="Century Schoolbook" w:hAnsi="Arial" w:cs="Arial"/>
          <w:sz w:val="24"/>
          <w:szCs w:val="24"/>
          <w:lang w:val="en-US"/>
        </w:rPr>
        <w:t xml:space="preserve"> </w:t>
      </w:r>
      <w:r w:rsidRPr="00061032">
        <w:rPr>
          <w:rFonts w:ascii="Arial" w:eastAsia="Century Schoolbook" w:hAnsi="Arial" w:cs="Arial"/>
          <w:sz w:val="24"/>
          <w:szCs w:val="24"/>
          <w:lang w:val="en-US"/>
        </w:rPr>
        <w:t xml:space="preserve"> Clause 4 of the Bill accordingly struck out the provision requiring the roll to be exhibited as </w:t>
      </w:r>
      <w:r w:rsidR="00061032" w:rsidRPr="00061032">
        <w:rPr>
          <w:rFonts w:ascii="Arial" w:eastAsia="Century Schoolbook" w:hAnsi="Arial" w:cs="Arial"/>
          <w:sz w:val="24"/>
          <w:szCs w:val="24"/>
          <w:lang w:val="en-US"/>
        </w:rPr>
        <w:t>before</w:t>
      </w:r>
      <w:r w:rsidRPr="00061032">
        <w:rPr>
          <w:rFonts w:ascii="Arial" w:eastAsia="Century Schoolbook" w:hAnsi="Arial" w:cs="Arial"/>
          <w:sz w:val="24"/>
          <w:szCs w:val="24"/>
          <w:lang w:val="en-US"/>
        </w:rPr>
        <w:t xml:space="preserve"> mentioned. </w:t>
      </w:r>
      <w:r w:rsidR="00061032">
        <w:rPr>
          <w:rFonts w:ascii="Arial" w:eastAsia="Century Schoolbook" w:hAnsi="Arial" w:cs="Arial"/>
          <w:sz w:val="24"/>
          <w:szCs w:val="24"/>
          <w:lang w:val="en-US"/>
        </w:rPr>
        <w:t xml:space="preserve"> </w:t>
      </w:r>
      <w:r w:rsidRPr="00061032">
        <w:rPr>
          <w:rFonts w:ascii="Arial" w:eastAsia="Century Schoolbook" w:hAnsi="Arial" w:cs="Arial"/>
          <w:sz w:val="24"/>
          <w:szCs w:val="24"/>
          <w:lang w:val="en-US"/>
        </w:rPr>
        <w:t xml:space="preserve">The board also reported that the provisions of sections 16, 17, and 18, which were intended to provide for bringing the roll up to date, had not worked satisfactorily, and that vignerons had been neglectful in furnishing returns, with the result that the information in the board’s books was not adequate for the purpose </w:t>
      </w:r>
      <w:r w:rsidR="00061032" w:rsidRPr="00061032">
        <w:rPr>
          <w:rFonts w:ascii="Arial" w:eastAsia="Century Schoolbook" w:hAnsi="Arial" w:cs="Arial"/>
          <w:sz w:val="24"/>
          <w:szCs w:val="24"/>
          <w:lang w:val="en-US"/>
        </w:rPr>
        <w:t>of</w:t>
      </w:r>
      <w:r w:rsidRPr="00061032">
        <w:rPr>
          <w:rFonts w:ascii="Arial" w:eastAsia="Century Schoolbook" w:hAnsi="Arial" w:cs="Arial"/>
          <w:sz w:val="24"/>
          <w:szCs w:val="24"/>
          <w:lang w:val="en-US"/>
        </w:rPr>
        <w:t xml:space="preserve"> levying rates. </w:t>
      </w:r>
      <w:r w:rsidR="00061032">
        <w:rPr>
          <w:rFonts w:ascii="Arial" w:eastAsia="Century Schoolbook" w:hAnsi="Arial" w:cs="Arial"/>
          <w:sz w:val="24"/>
          <w:szCs w:val="24"/>
          <w:lang w:val="en-US"/>
        </w:rPr>
        <w:t xml:space="preserve"> </w:t>
      </w:r>
      <w:r w:rsidRPr="00061032">
        <w:rPr>
          <w:rFonts w:ascii="Arial" w:eastAsia="Century Schoolbook" w:hAnsi="Arial" w:cs="Arial"/>
          <w:sz w:val="24"/>
          <w:szCs w:val="24"/>
          <w:lang w:val="en-US"/>
        </w:rPr>
        <w:t xml:space="preserve">Clauses 6, 7. and 8 were intended to take the place of the repealed sections. </w:t>
      </w:r>
      <w:r w:rsidR="00061032">
        <w:rPr>
          <w:rFonts w:ascii="Arial" w:eastAsia="Century Schoolbook" w:hAnsi="Arial" w:cs="Arial"/>
          <w:sz w:val="24"/>
          <w:szCs w:val="24"/>
          <w:lang w:val="en-US"/>
        </w:rPr>
        <w:t xml:space="preserve"> </w:t>
      </w:r>
      <w:r w:rsidRPr="00061032">
        <w:rPr>
          <w:rFonts w:ascii="Arial" w:eastAsia="Century Schoolbook" w:hAnsi="Arial" w:cs="Arial"/>
          <w:sz w:val="24"/>
          <w:szCs w:val="24"/>
          <w:lang w:val="en-US"/>
        </w:rPr>
        <w:t xml:space="preserve">Clauses 6 and 7 contained provisions calculated to ensure that every vineyard exceeding an acre in extent should be noted on the roll, with its area, and that the owners for the time being of every vineyard might be ascertained by consulting the roll. </w:t>
      </w:r>
      <w:r w:rsidR="00061032">
        <w:rPr>
          <w:rFonts w:ascii="Arial" w:eastAsia="Century Schoolbook" w:hAnsi="Arial" w:cs="Arial"/>
          <w:sz w:val="24"/>
          <w:szCs w:val="24"/>
          <w:lang w:val="en-US"/>
        </w:rPr>
        <w:t xml:space="preserve"> </w:t>
      </w:r>
      <w:r w:rsidRPr="00061032">
        <w:rPr>
          <w:rFonts w:ascii="Arial" w:eastAsia="Century Schoolbook" w:hAnsi="Arial" w:cs="Arial"/>
          <w:sz w:val="24"/>
          <w:szCs w:val="24"/>
          <w:lang w:val="en-US"/>
        </w:rPr>
        <w:t xml:space="preserve">Clause 8 required the secretary to revise the </w:t>
      </w:r>
      <w:proofErr w:type="gramStart"/>
      <w:r w:rsidRPr="00061032">
        <w:rPr>
          <w:rFonts w:ascii="Arial" w:eastAsia="Century Schoolbook" w:hAnsi="Arial" w:cs="Arial"/>
          <w:sz w:val="24"/>
          <w:szCs w:val="24"/>
          <w:lang w:val="en-US"/>
        </w:rPr>
        <w:t>roll</w:t>
      </w:r>
      <w:proofErr w:type="gramEnd"/>
      <w:r w:rsidRPr="00061032">
        <w:rPr>
          <w:rFonts w:ascii="Arial" w:eastAsia="Century Schoolbook" w:hAnsi="Arial" w:cs="Arial"/>
          <w:sz w:val="24"/>
          <w:szCs w:val="24"/>
          <w:lang w:val="en-US"/>
        </w:rPr>
        <w:t xml:space="preserve"> from time to time from returns furnished by </w:t>
      </w:r>
      <w:proofErr w:type="gramStart"/>
      <w:r w:rsidRPr="00061032">
        <w:rPr>
          <w:rFonts w:ascii="Arial" w:eastAsia="Century Schoolbook" w:hAnsi="Arial" w:cs="Arial"/>
          <w:sz w:val="24"/>
          <w:szCs w:val="24"/>
          <w:lang w:val="en-US"/>
        </w:rPr>
        <w:t>owners, and</w:t>
      </w:r>
      <w:proofErr w:type="gramEnd"/>
      <w:r w:rsidRPr="00061032">
        <w:rPr>
          <w:rFonts w:ascii="Arial" w:eastAsia="Century Schoolbook" w:hAnsi="Arial" w:cs="Arial"/>
          <w:sz w:val="24"/>
          <w:szCs w:val="24"/>
          <w:lang w:val="en-US"/>
        </w:rPr>
        <w:t xml:space="preserve"> enabled him also to be guided by returns re</w:t>
      </w:r>
      <w:r w:rsidR="00A205CF">
        <w:rPr>
          <w:rFonts w:ascii="Arial" w:eastAsia="Century Schoolbook" w:hAnsi="Arial" w:cs="Arial"/>
          <w:sz w:val="24"/>
          <w:szCs w:val="24"/>
          <w:lang w:val="en-US"/>
        </w:rPr>
        <w:t xml:space="preserve">ceived from inspectors, which, however, the owners interested were to have the opportunity of checking.  The second matter dealt with was the date when the phylloxera rate was to become payable.  The Act said May 1.  It was proposed to </w:t>
      </w:r>
      <w:r w:rsidRPr="00061032">
        <w:rPr>
          <w:rFonts w:ascii="Arial" w:eastAsia="Century Schoolbook" w:hAnsi="Arial" w:cs="Arial"/>
          <w:sz w:val="24"/>
          <w:szCs w:val="24"/>
          <w:lang w:val="en-US"/>
        </w:rPr>
        <w:t xml:space="preserve">change this to June 1, as </w:t>
      </w:r>
      <w:proofErr w:type="spellStart"/>
      <w:r w:rsidRPr="00061032">
        <w:rPr>
          <w:rFonts w:ascii="Arial" w:eastAsia="Century Schoolbook" w:hAnsi="Arial" w:cs="Arial"/>
          <w:sz w:val="24"/>
          <w:szCs w:val="24"/>
          <w:lang w:val="en-US"/>
        </w:rPr>
        <w:t>vin</w:t>
      </w:r>
      <w:r w:rsidR="00EA7908">
        <w:rPr>
          <w:rFonts w:ascii="Arial" w:eastAsia="Century Schoolbook" w:hAnsi="Arial" w:cs="Arial"/>
          <w:sz w:val="24"/>
          <w:szCs w:val="24"/>
          <w:lang w:val="en-US"/>
        </w:rPr>
        <w:t>egrowers</w:t>
      </w:r>
      <w:proofErr w:type="spellEnd"/>
      <w:r w:rsidR="00EA7908">
        <w:rPr>
          <w:rFonts w:ascii="Arial" w:eastAsia="Century Schoolbook" w:hAnsi="Arial" w:cs="Arial"/>
          <w:sz w:val="24"/>
          <w:szCs w:val="24"/>
          <w:lang w:val="en-US"/>
        </w:rPr>
        <w:t xml:space="preserve"> were </w:t>
      </w:r>
      <w:r w:rsidRPr="00061032">
        <w:rPr>
          <w:rFonts w:ascii="Arial" w:eastAsia="Century Schoolbook" w:hAnsi="Arial" w:cs="Arial"/>
          <w:sz w:val="24"/>
          <w:szCs w:val="24"/>
          <w:lang w:val="en-US"/>
        </w:rPr>
        <w:t>not paid for their grapes befor</w:t>
      </w:r>
      <w:r w:rsidR="00EA7908">
        <w:rPr>
          <w:rFonts w:ascii="Arial" w:eastAsia="Century Schoolbook" w:hAnsi="Arial" w:cs="Arial"/>
          <w:sz w:val="24"/>
          <w:szCs w:val="24"/>
          <w:lang w:val="en-US"/>
        </w:rPr>
        <w:t>e May 1 and</w:t>
      </w:r>
      <w:r w:rsidRPr="00061032">
        <w:rPr>
          <w:rFonts w:ascii="Arial" w:eastAsia="Century Schoolbook" w:hAnsi="Arial" w:cs="Arial"/>
          <w:sz w:val="24"/>
          <w:szCs w:val="24"/>
          <w:lang w:val="en-US"/>
        </w:rPr>
        <w:t xml:space="preserve"> their returns were not </w:t>
      </w:r>
      <w:r w:rsidRPr="00061032">
        <w:rPr>
          <w:rFonts w:ascii="Arial" w:eastAsia="Century Schoolbook" w:hAnsi="Arial" w:cs="Arial"/>
          <w:color w:val="000000"/>
          <w:spacing w:val="2"/>
          <w:sz w:val="24"/>
          <w:szCs w:val="24"/>
          <w:shd w:val="clear" w:color="auto" w:fill="FFFFFF"/>
          <w:lang w:val="en-US"/>
        </w:rPr>
        <w:t>made</w:t>
      </w:r>
      <w:r w:rsidR="00EA7908">
        <w:rPr>
          <w:rFonts w:ascii="Arial" w:eastAsia="Century Schoolbook" w:hAnsi="Arial" w:cs="Arial"/>
          <w:color w:val="000000"/>
          <w:spacing w:val="2"/>
          <w:sz w:val="24"/>
          <w:szCs w:val="24"/>
          <w:shd w:val="clear" w:color="auto" w:fill="FFFFFF"/>
          <w:lang w:val="en-US"/>
        </w:rPr>
        <w:t xml:space="preserve"> up until after that date.</w:t>
      </w:r>
      <w:r w:rsidR="007D7483">
        <w:rPr>
          <w:rFonts w:ascii="Arial" w:eastAsia="Century Schoolbook" w:hAnsi="Arial" w:cs="Arial"/>
          <w:color w:val="000000"/>
          <w:spacing w:val="2"/>
          <w:sz w:val="24"/>
          <w:szCs w:val="24"/>
          <w:shd w:val="clear" w:color="auto" w:fill="FFFFFF"/>
          <w:lang w:val="en-US"/>
        </w:rPr>
        <w:t xml:space="preserve">  Clause 10 contained an amendment to section 31 of the principal Act, which enabled the board to destroy unused </w:t>
      </w:r>
      <w:proofErr w:type="spellStart"/>
      <w:r w:rsidR="007D7483">
        <w:rPr>
          <w:rFonts w:ascii="Arial" w:eastAsia="Century Schoolbook" w:hAnsi="Arial" w:cs="Arial"/>
          <w:color w:val="000000"/>
          <w:spacing w:val="2"/>
          <w:sz w:val="24"/>
          <w:szCs w:val="24"/>
          <w:shd w:val="clear" w:color="auto" w:fill="FFFFFF"/>
          <w:lang w:val="en-US"/>
        </w:rPr>
        <w:t>oor</w:t>
      </w:r>
      <w:proofErr w:type="spellEnd"/>
      <w:r w:rsidR="007D7483">
        <w:rPr>
          <w:rFonts w:ascii="Arial" w:eastAsia="Century Schoolbook" w:hAnsi="Arial" w:cs="Arial"/>
          <w:color w:val="000000"/>
          <w:spacing w:val="2"/>
          <w:sz w:val="24"/>
          <w:szCs w:val="24"/>
          <w:shd w:val="clear" w:color="auto" w:fill="FFFFFF"/>
          <w:lang w:val="en-US"/>
        </w:rPr>
        <w:t xml:space="preserve"> abandoned </w:t>
      </w:r>
      <w:proofErr w:type="gramStart"/>
      <w:r w:rsidR="007D7483">
        <w:rPr>
          <w:rFonts w:ascii="Arial" w:eastAsia="Century Schoolbook" w:hAnsi="Arial" w:cs="Arial"/>
          <w:color w:val="000000"/>
          <w:spacing w:val="2"/>
          <w:sz w:val="24"/>
          <w:szCs w:val="24"/>
          <w:shd w:val="clear" w:color="auto" w:fill="FFFFFF"/>
          <w:lang w:val="en-US"/>
        </w:rPr>
        <w:t>vineyards, but</w:t>
      </w:r>
      <w:proofErr w:type="gramEnd"/>
      <w:r w:rsidR="007D7483">
        <w:rPr>
          <w:rFonts w:ascii="Arial" w:eastAsia="Century Schoolbook" w:hAnsi="Arial" w:cs="Arial"/>
          <w:color w:val="000000"/>
          <w:spacing w:val="2"/>
          <w:sz w:val="24"/>
          <w:szCs w:val="24"/>
          <w:shd w:val="clear" w:color="auto" w:fill="FFFFFF"/>
          <w:lang w:val="en-US"/>
        </w:rPr>
        <w:t xml:space="preserve"> did </w:t>
      </w:r>
      <w:proofErr w:type="gramStart"/>
      <w:r w:rsidR="007D7483">
        <w:rPr>
          <w:rFonts w:ascii="Arial" w:eastAsia="Century Schoolbook" w:hAnsi="Arial" w:cs="Arial"/>
          <w:color w:val="000000"/>
          <w:spacing w:val="2"/>
          <w:sz w:val="24"/>
          <w:szCs w:val="24"/>
          <w:shd w:val="clear" w:color="auto" w:fill="FFFFFF"/>
          <w:lang w:val="en-US"/>
        </w:rPr>
        <w:t>not</w:t>
      </w:r>
      <w:proofErr w:type="gramEnd"/>
      <w:r w:rsidR="007D7483">
        <w:rPr>
          <w:rFonts w:ascii="Arial" w:eastAsia="Century Schoolbook" w:hAnsi="Arial" w:cs="Arial"/>
          <w:color w:val="000000"/>
          <w:spacing w:val="2"/>
          <w:sz w:val="24"/>
          <w:szCs w:val="24"/>
          <w:shd w:val="clear" w:color="auto" w:fill="FFFFFF"/>
          <w:lang w:val="en-US"/>
        </w:rPr>
        <w:t xml:space="preserve"> who was to pay the cost.  The board was of the unanimous opinion that the owner should pay, as an owner who had neglected his </w:t>
      </w:r>
      <w:r w:rsidR="007D7483" w:rsidRPr="007D7483">
        <w:rPr>
          <w:rFonts w:ascii="Arial" w:eastAsia="Century Schoolbook" w:hAnsi="Arial" w:cs="Arial"/>
          <w:sz w:val="24"/>
          <w:szCs w:val="24"/>
          <w:lang w:val="en-US"/>
        </w:rPr>
        <w:t xml:space="preserve">vineyard offered a great </w:t>
      </w:r>
      <w:proofErr w:type="gramStart"/>
      <w:r w:rsidR="007D7483" w:rsidRPr="007D7483">
        <w:rPr>
          <w:rFonts w:ascii="Arial" w:eastAsia="Century Schoolbook" w:hAnsi="Arial" w:cs="Arial"/>
          <w:sz w:val="24"/>
          <w:szCs w:val="24"/>
          <w:lang w:val="en-US"/>
        </w:rPr>
        <w:t>da</w:t>
      </w:r>
      <w:r w:rsidR="007D7483">
        <w:rPr>
          <w:rFonts w:ascii="Arial" w:eastAsia="Century Schoolbook" w:hAnsi="Arial" w:cs="Arial"/>
          <w:sz w:val="24"/>
          <w:szCs w:val="24"/>
          <w:lang w:val="en-US"/>
        </w:rPr>
        <w:t>nger</w:t>
      </w:r>
      <w:proofErr w:type="gramEnd"/>
      <w:r w:rsidR="007D7483">
        <w:rPr>
          <w:rFonts w:ascii="Arial" w:eastAsia="Century Schoolbook" w:hAnsi="Arial" w:cs="Arial"/>
          <w:sz w:val="24"/>
          <w:szCs w:val="24"/>
          <w:lang w:val="en-US"/>
        </w:rPr>
        <w:t xml:space="preserve"> </w:t>
      </w:r>
      <w:r w:rsidR="007D7483" w:rsidRPr="007D7483">
        <w:rPr>
          <w:rFonts w:ascii="Arial" w:eastAsia="Century Schoolbook" w:hAnsi="Arial" w:cs="Arial"/>
          <w:sz w:val="24"/>
          <w:szCs w:val="24"/>
          <w:lang w:val="en-US"/>
        </w:rPr>
        <w:t>healthy and cultivated vine</w:t>
      </w:r>
      <w:r w:rsidR="007D7483">
        <w:rPr>
          <w:rFonts w:ascii="Arial" w:eastAsia="Century Schoolbook" w:hAnsi="Arial" w:cs="Arial"/>
          <w:sz w:val="24"/>
          <w:szCs w:val="24"/>
          <w:lang w:val="en-US"/>
        </w:rPr>
        <w:t>yards of the</w:t>
      </w:r>
      <w:r w:rsidR="007D7483" w:rsidRPr="007D7483">
        <w:rPr>
          <w:rFonts w:ascii="Arial" w:eastAsia="Century Schoolbook" w:hAnsi="Arial" w:cs="Arial"/>
          <w:sz w:val="24"/>
          <w:szCs w:val="24"/>
          <w:lang w:val="en-US"/>
        </w:rPr>
        <w:t xml:space="preserve"> </w:t>
      </w:r>
      <w:proofErr w:type="gramStart"/>
      <w:r w:rsidR="007D7483" w:rsidRPr="007D7483">
        <w:rPr>
          <w:rFonts w:ascii="Arial" w:eastAsia="Century Schoolbook" w:hAnsi="Arial" w:cs="Arial"/>
          <w:sz w:val="24"/>
          <w:szCs w:val="24"/>
          <w:lang w:val="en-US"/>
        </w:rPr>
        <w:t>State, and</w:t>
      </w:r>
      <w:proofErr w:type="gramEnd"/>
      <w:r w:rsidR="007D7483" w:rsidRPr="007D7483">
        <w:rPr>
          <w:rFonts w:ascii="Arial" w:eastAsia="Century Schoolbook" w:hAnsi="Arial" w:cs="Arial"/>
          <w:sz w:val="24"/>
          <w:szCs w:val="24"/>
          <w:lang w:val="en-US"/>
        </w:rPr>
        <w:t xml:space="preserve"> should be made to pa</w:t>
      </w:r>
      <w:r w:rsidR="007D7483">
        <w:rPr>
          <w:rFonts w:ascii="Arial" w:eastAsia="Century Schoolbook" w:hAnsi="Arial" w:cs="Arial"/>
          <w:sz w:val="24"/>
          <w:szCs w:val="24"/>
          <w:lang w:val="en-US"/>
        </w:rPr>
        <w:t xml:space="preserve">y for his </w:t>
      </w:r>
      <w:r w:rsidR="007D7483" w:rsidRPr="007D7483">
        <w:rPr>
          <w:rFonts w:ascii="Arial" w:eastAsia="Century Schoolbook" w:hAnsi="Arial" w:cs="Arial"/>
          <w:sz w:val="24"/>
          <w:szCs w:val="24"/>
          <w:lang w:val="en-US"/>
        </w:rPr>
        <w:t xml:space="preserve">neglect. </w:t>
      </w:r>
      <w:r w:rsidR="007D7483">
        <w:rPr>
          <w:rFonts w:ascii="Arial" w:eastAsia="Century Schoolbook" w:hAnsi="Arial" w:cs="Arial"/>
          <w:sz w:val="24"/>
          <w:szCs w:val="24"/>
          <w:lang w:val="en-US"/>
        </w:rPr>
        <w:t xml:space="preserve"> </w:t>
      </w:r>
      <w:r w:rsidR="007D7483" w:rsidRPr="007D7483">
        <w:rPr>
          <w:rFonts w:ascii="Arial" w:eastAsia="Century Schoolbook" w:hAnsi="Arial" w:cs="Arial"/>
          <w:sz w:val="24"/>
          <w:szCs w:val="24"/>
          <w:lang w:val="en-US"/>
        </w:rPr>
        <w:t xml:space="preserve">The proposed amendment </w:t>
      </w:r>
      <w:r w:rsidR="007D7483">
        <w:rPr>
          <w:rFonts w:ascii="Arial" w:eastAsia="Century Schoolbook" w:hAnsi="Arial" w:cs="Arial"/>
          <w:sz w:val="24"/>
          <w:szCs w:val="24"/>
          <w:lang w:val="en-US"/>
        </w:rPr>
        <w:t xml:space="preserve">carried </w:t>
      </w:r>
      <w:r w:rsidR="007D7483" w:rsidRPr="007D7483">
        <w:rPr>
          <w:rFonts w:ascii="Arial" w:eastAsia="Century Schoolbook" w:hAnsi="Arial" w:cs="Arial"/>
          <w:sz w:val="24"/>
          <w:szCs w:val="24"/>
          <w:lang w:val="en-US"/>
        </w:rPr>
        <w:t>out the board's recommendations</w:t>
      </w:r>
      <w:r w:rsidR="007D7483">
        <w:rPr>
          <w:rFonts w:ascii="Arial" w:eastAsia="Century Schoolbook" w:hAnsi="Arial" w:cs="Arial"/>
          <w:sz w:val="24"/>
          <w:szCs w:val="24"/>
          <w:lang w:val="en-US"/>
        </w:rPr>
        <w:t>.</w:t>
      </w:r>
      <w:r w:rsidR="007D7483" w:rsidRPr="007D7483">
        <w:rPr>
          <w:rFonts w:ascii="Arial" w:eastAsia="Century Schoolbook" w:hAnsi="Arial" w:cs="Arial"/>
          <w:sz w:val="24"/>
          <w:szCs w:val="24"/>
          <w:lang w:val="en-US"/>
        </w:rPr>
        <w:t xml:space="preserve"> </w:t>
      </w:r>
      <w:r w:rsidR="007D7483">
        <w:rPr>
          <w:rFonts w:ascii="Arial" w:eastAsia="Century Schoolbook" w:hAnsi="Arial" w:cs="Arial"/>
          <w:sz w:val="24"/>
          <w:szCs w:val="24"/>
          <w:lang w:val="en-US"/>
        </w:rPr>
        <w:t xml:space="preserve"> Clause </w:t>
      </w:r>
      <w:r w:rsidR="007D7483" w:rsidRPr="007D7483">
        <w:rPr>
          <w:rFonts w:ascii="Arial" w:eastAsia="Century Schoolbook" w:hAnsi="Arial" w:cs="Arial"/>
          <w:sz w:val="24"/>
          <w:szCs w:val="24"/>
          <w:lang w:val="en-US"/>
        </w:rPr>
        <w:t>11 enabled the board to suspend t</w:t>
      </w:r>
      <w:r w:rsidR="007D7483">
        <w:rPr>
          <w:rFonts w:ascii="Arial" w:eastAsia="Century Schoolbook" w:hAnsi="Arial" w:cs="Arial"/>
          <w:sz w:val="24"/>
          <w:szCs w:val="24"/>
          <w:lang w:val="en-US"/>
        </w:rPr>
        <w:t>he levy</w:t>
      </w:r>
      <w:r w:rsidR="007D7483" w:rsidRPr="007D7483">
        <w:rPr>
          <w:rFonts w:ascii="Arial" w:eastAsia="Century Schoolbook" w:hAnsi="Arial" w:cs="Arial"/>
          <w:sz w:val="24"/>
          <w:szCs w:val="24"/>
          <w:lang w:val="en-US"/>
        </w:rPr>
        <w:t xml:space="preserve">ing of rates on any vineyard which </w:t>
      </w:r>
      <w:r w:rsidR="007D7483">
        <w:rPr>
          <w:rFonts w:ascii="Arial" w:eastAsia="Century Schoolbook" w:hAnsi="Arial" w:cs="Arial"/>
          <w:sz w:val="24"/>
          <w:szCs w:val="24"/>
          <w:lang w:val="en-US"/>
        </w:rPr>
        <w:t>had</w:t>
      </w:r>
      <w:r w:rsidR="007D7483" w:rsidRPr="007D7483">
        <w:rPr>
          <w:rFonts w:ascii="Arial" w:eastAsia="Century Schoolbook" w:hAnsi="Arial" w:cs="Arial"/>
          <w:sz w:val="24"/>
          <w:szCs w:val="24"/>
          <w:lang w:val="en-US"/>
        </w:rPr>
        <w:t xml:space="preserve"> paid rates continuously for not </w:t>
      </w:r>
      <w:r w:rsidR="007D7483">
        <w:rPr>
          <w:rFonts w:ascii="Arial" w:eastAsia="Century Schoolbook" w:hAnsi="Arial" w:cs="Arial"/>
          <w:sz w:val="24"/>
          <w:szCs w:val="24"/>
          <w:lang w:val="en-US"/>
        </w:rPr>
        <w:t>less than</w:t>
      </w:r>
      <w:r w:rsidR="007D7483" w:rsidRPr="007D7483">
        <w:rPr>
          <w:rFonts w:ascii="Arial" w:eastAsia="Century Schoolbook" w:hAnsi="Arial" w:cs="Arial"/>
          <w:sz w:val="24"/>
          <w:szCs w:val="24"/>
          <w:lang w:val="en-US"/>
        </w:rPr>
        <w:t xml:space="preserve"> 15 years.</w:t>
      </w:r>
      <w:r w:rsidR="007D7483">
        <w:rPr>
          <w:rFonts w:ascii="Arial" w:eastAsia="Century Schoolbook" w:hAnsi="Arial" w:cs="Arial"/>
          <w:sz w:val="24"/>
          <w:szCs w:val="24"/>
          <w:lang w:val="en-US"/>
        </w:rPr>
        <w:t xml:space="preserve"> </w:t>
      </w:r>
      <w:r w:rsidR="007D7483" w:rsidRPr="007D7483">
        <w:rPr>
          <w:rFonts w:ascii="Arial" w:eastAsia="Century Schoolbook" w:hAnsi="Arial" w:cs="Arial"/>
          <w:sz w:val="24"/>
          <w:szCs w:val="24"/>
          <w:lang w:val="en-US"/>
        </w:rPr>
        <w:t xml:space="preserve"> Clause 45 of the Act </w:t>
      </w:r>
      <w:r w:rsidR="007D7483">
        <w:rPr>
          <w:rFonts w:ascii="Arial" w:eastAsia="Century Schoolbook" w:hAnsi="Arial" w:cs="Arial"/>
          <w:sz w:val="24"/>
          <w:szCs w:val="24"/>
          <w:lang w:val="en-US"/>
        </w:rPr>
        <w:t xml:space="preserve">gave the </w:t>
      </w:r>
      <w:r w:rsidR="007D7483" w:rsidRPr="007D7483">
        <w:rPr>
          <w:rFonts w:ascii="Arial" w:eastAsia="Century Schoolbook" w:hAnsi="Arial" w:cs="Arial"/>
          <w:sz w:val="24"/>
          <w:szCs w:val="24"/>
          <w:lang w:val="en-US"/>
        </w:rPr>
        <w:t xml:space="preserve">board power to reduce or suspend the </w:t>
      </w:r>
      <w:r w:rsidR="007D7483">
        <w:rPr>
          <w:rFonts w:ascii="Arial" w:eastAsia="Century Schoolbook" w:hAnsi="Arial" w:cs="Arial"/>
          <w:sz w:val="24"/>
          <w:szCs w:val="24"/>
          <w:lang w:val="en-US"/>
        </w:rPr>
        <w:t>levy</w:t>
      </w:r>
      <w:r w:rsidR="007D7483" w:rsidRPr="007D7483">
        <w:rPr>
          <w:rFonts w:ascii="Arial" w:eastAsia="Century Schoolbook" w:hAnsi="Arial" w:cs="Arial"/>
          <w:sz w:val="24"/>
          <w:szCs w:val="24"/>
          <w:lang w:val="en-US"/>
        </w:rPr>
        <w:t>ing of the rate when £5,000 had be</w:t>
      </w:r>
      <w:r w:rsidR="007D7483">
        <w:rPr>
          <w:rFonts w:ascii="Arial" w:eastAsia="Century Schoolbook" w:hAnsi="Arial" w:cs="Arial"/>
          <w:sz w:val="24"/>
          <w:szCs w:val="24"/>
          <w:lang w:val="en-US"/>
        </w:rPr>
        <w:t>e</w:t>
      </w:r>
      <w:r w:rsidR="007D7483" w:rsidRPr="007D7483">
        <w:rPr>
          <w:rFonts w:ascii="Arial" w:eastAsia="Century Schoolbook" w:hAnsi="Arial" w:cs="Arial"/>
          <w:sz w:val="24"/>
          <w:szCs w:val="24"/>
          <w:lang w:val="en-US"/>
        </w:rPr>
        <w:t xml:space="preserve">n </w:t>
      </w:r>
      <w:r w:rsidR="001145DD">
        <w:rPr>
          <w:rFonts w:ascii="Arial" w:eastAsia="Century Schoolbook" w:hAnsi="Arial" w:cs="Arial"/>
          <w:sz w:val="24"/>
          <w:szCs w:val="24"/>
          <w:lang w:val="en-US"/>
        </w:rPr>
        <w:t>ac</w:t>
      </w:r>
      <w:r w:rsidR="007D7483" w:rsidRPr="007D7483">
        <w:rPr>
          <w:rFonts w:ascii="Arial" w:eastAsia="Century Schoolbook" w:hAnsi="Arial" w:cs="Arial"/>
          <w:sz w:val="24"/>
          <w:szCs w:val="24"/>
          <w:lang w:val="en-US"/>
        </w:rPr>
        <w:t>cumulated, but that power could only</w:t>
      </w:r>
      <w:r w:rsidR="001145DD">
        <w:rPr>
          <w:rFonts w:ascii="Arial" w:eastAsia="Century Schoolbook" w:hAnsi="Arial" w:cs="Arial"/>
          <w:sz w:val="24"/>
          <w:szCs w:val="24"/>
          <w:lang w:val="en-US"/>
        </w:rPr>
        <w:t xml:space="preserve"> be </w:t>
      </w:r>
      <w:r w:rsidR="007D7483" w:rsidRPr="007D7483">
        <w:rPr>
          <w:rFonts w:ascii="Arial" w:eastAsia="Century Schoolbook" w:hAnsi="Arial" w:cs="Arial"/>
          <w:sz w:val="24"/>
          <w:szCs w:val="24"/>
          <w:lang w:val="en-US"/>
        </w:rPr>
        <w:t>exercised with regard to all vi</w:t>
      </w:r>
      <w:r w:rsidR="001145DD">
        <w:rPr>
          <w:rFonts w:ascii="Arial" w:eastAsia="Century Schoolbook" w:hAnsi="Arial" w:cs="Arial"/>
          <w:sz w:val="24"/>
          <w:szCs w:val="24"/>
          <w:lang w:val="en-US"/>
        </w:rPr>
        <w:t xml:space="preserve">neyards </w:t>
      </w:r>
      <w:r w:rsidR="007D7483" w:rsidRPr="007D7483">
        <w:rPr>
          <w:rFonts w:ascii="Arial" w:eastAsia="Century Schoolbook" w:hAnsi="Arial" w:cs="Arial"/>
          <w:sz w:val="24"/>
          <w:szCs w:val="24"/>
          <w:lang w:val="en-US"/>
        </w:rPr>
        <w:t xml:space="preserve">simultaneously, so that owners who </w:t>
      </w:r>
      <w:r w:rsidR="001145DD">
        <w:rPr>
          <w:rFonts w:ascii="Arial" w:eastAsia="Century Schoolbook" w:hAnsi="Arial" w:cs="Arial"/>
          <w:sz w:val="24"/>
          <w:szCs w:val="24"/>
          <w:lang w:val="en-US"/>
        </w:rPr>
        <w:t>had</w:t>
      </w:r>
      <w:r w:rsidR="007D7483" w:rsidRPr="007D7483">
        <w:rPr>
          <w:rFonts w:ascii="Arial" w:eastAsia="Century Schoolbook" w:hAnsi="Arial" w:cs="Arial"/>
          <w:sz w:val="24"/>
          <w:szCs w:val="24"/>
          <w:lang w:val="en-US"/>
        </w:rPr>
        <w:t xml:space="preserve"> only just begun to pay rates would have the advantages accruing from the payment of rates by other owners since the </w:t>
      </w:r>
      <w:r w:rsidR="001145DD">
        <w:rPr>
          <w:rFonts w:ascii="Arial" w:eastAsia="Century Schoolbook" w:hAnsi="Arial" w:cs="Arial"/>
          <w:sz w:val="24"/>
          <w:szCs w:val="24"/>
          <w:lang w:val="en-US"/>
        </w:rPr>
        <w:t xml:space="preserve">Act </w:t>
      </w:r>
      <w:r w:rsidR="007D7483" w:rsidRPr="007D7483">
        <w:rPr>
          <w:rFonts w:ascii="Arial" w:eastAsia="Century Schoolbook" w:hAnsi="Arial" w:cs="Arial"/>
          <w:sz w:val="24"/>
          <w:szCs w:val="24"/>
          <w:lang w:val="en-US"/>
        </w:rPr>
        <w:t xml:space="preserve">came into force with having to nab any contribution towards </w:t>
      </w:r>
      <w:r w:rsidR="007D7483" w:rsidRPr="007D7483">
        <w:rPr>
          <w:rFonts w:ascii="Arial" w:eastAsia="Century Schoolbook" w:hAnsi="Arial" w:cs="Arial"/>
          <w:sz w:val="24"/>
          <w:szCs w:val="24"/>
          <w:lang w:val="en-US"/>
        </w:rPr>
        <w:lastRenderedPageBreak/>
        <w:t>the expense</w:t>
      </w:r>
      <w:r w:rsidR="001145DD">
        <w:rPr>
          <w:rFonts w:ascii="Arial" w:eastAsia="Century Schoolbook" w:hAnsi="Arial" w:cs="Arial"/>
          <w:sz w:val="24"/>
          <w:szCs w:val="24"/>
          <w:lang w:val="en-US"/>
        </w:rPr>
        <w:t xml:space="preserve">. </w:t>
      </w:r>
      <w:r w:rsidR="007D7483" w:rsidRPr="007D7483">
        <w:rPr>
          <w:rFonts w:ascii="Arial" w:eastAsia="Century Schoolbook" w:hAnsi="Arial" w:cs="Arial"/>
          <w:sz w:val="24"/>
          <w:szCs w:val="24"/>
          <w:lang w:val="en-US"/>
        </w:rPr>
        <w:t xml:space="preserve"> This was obviously unfair, and if the Ac</w:t>
      </w:r>
      <w:r w:rsidR="001145DD">
        <w:rPr>
          <w:rFonts w:ascii="Arial" w:eastAsia="Century Schoolbook" w:hAnsi="Arial" w:cs="Arial"/>
          <w:sz w:val="24"/>
          <w:szCs w:val="24"/>
          <w:lang w:val="en-US"/>
        </w:rPr>
        <w:t>t</w:t>
      </w:r>
      <w:r w:rsidR="007D7483" w:rsidRPr="007D7483">
        <w:rPr>
          <w:rFonts w:ascii="Arial" w:eastAsia="Century Schoolbook" w:hAnsi="Arial" w:cs="Arial"/>
          <w:sz w:val="24"/>
          <w:szCs w:val="24"/>
          <w:lang w:val="en-US"/>
        </w:rPr>
        <w:t xml:space="preserve"> was amended as proposed there would </w:t>
      </w:r>
      <w:r w:rsidR="001145DD">
        <w:rPr>
          <w:rFonts w:ascii="Arial" w:eastAsia="Century Schoolbook" w:hAnsi="Arial" w:cs="Arial"/>
          <w:sz w:val="24"/>
          <w:szCs w:val="24"/>
          <w:lang w:val="en-US"/>
        </w:rPr>
        <w:t>be</w:t>
      </w:r>
      <w:r w:rsidR="007D7483" w:rsidRPr="007D7483">
        <w:rPr>
          <w:rFonts w:ascii="Arial" w:eastAsia="Century Schoolbook" w:hAnsi="Arial" w:cs="Arial"/>
          <w:sz w:val="24"/>
          <w:szCs w:val="24"/>
          <w:lang w:val="en-US"/>
        </w:rPr>
        <w:t xml:space="preserve"> a discretion to suspend rates altogether</w:t>
      </w:r>
      <w:r w:rsidR="001145DD">
        <w:rPr>
          <w:rFonts w:ascii="Arial" w:eastAsia="Century Schoolbook" w:hAnsi="Arial" w:cs="Arial"/>
          <w:sz w:val="24"/>
          <w:szCs w:val="24"/>
          <w:lang w:val="en-US"/>
        </w:rPr>
        <w:t xml:space="preserve">, or </w:t>
      </w:r>
      <w:r w:rsidR="007D7483" w:rsidRPr="007D7483">
        <w:rPr>
          <w:rFonts w:ascii="Arial" w:eastAsia="Century Schoolbook" w:hAnsi="Arial" w:cs="Arial"/>
          <w:sz w:val="24"/>
          <w:szCs w:val="24"/>
          <w:lang w:val="en-US"/>
        </w:rPr>
        <w:t xml:space="preserve">for the benefit of </w:t>
      </w:r>
      <w:proofErr w:type="gramStart"/>
      <w:r w:rsidR="007D7483" w:rsidRPr="007D7483">
        <w:rPr>
          <w:rFonts w:ascii="Arial" w:eastAsia="Century Schoolbook" w:hAnsi="Arial" w:cs="Arial"/>
          <w:sz w:val="24"/>
          <w:szCs w:val="24"/>
          <w:lang w:val="en-US"/>
        </w:rPr>
        <w:t>particular vineyards</w:t>
      </w:r>
      <w:proofErr w:type="gramEnd"/>
      <w:r w:rsidR="007D7483" w:rsidRPr="007D7483">
        <w:rPr>
          <w:rFonts w:ascii="Arial" w:eastAsia="Century Schoolbook" w:hAnsi="Arial" w:cs="Arial"/>
          <w:sz w:val="24"/>
          <w:szCs w:val="24"/>
          <w:lang w:val="en-US"/>
        </w:rPr>
        <w:t xml:space="preserve"> on which rates had been paid for 15 years</w:t>
      </w:r>
      <w:r w:rsidR="001145DD">
        <w:rPr>
          <w:rFonts w:ascii="Arial" w:eastAsia="Century Schoolbook" w:hAnsi="Arial" w:cs="Arial"/>
          <w:sz w:val="24"/>
          <w:szCs w:val="24"/>
          <w:lang w:val="en-US"/>
        </w:rPr>
        <w:t xml:space="preserve"> or</w:t>
      </w:r>
      <w:r w:rsidR="007D7483" w:rsidRPr="007D7483">
        <w:rPr>
          <w:rFonts w:ascii="Arial" w:eastAsia="Century Schoolbook" w:hAnsi="Arial" w:cs="Arial"/>
          <w:i/>
          <w:iCs/>
          <w:spacing w:val="-3"/>
          <w:sz w:val="24"/>
          <w:szCs w:val="24"/>
          <w:shd w:val="clear" w:color="auto" w:fill="FFFFFF"/>
          <w:lang w:val="en-US"/>
        </w:rPr>
        <w:t xml:space="preserve"> </w:t>
      </w:r>
      <w:r w:rsidR="007D7483" w:rsidRPr="007D7483">
        <w:rPr>
          <w:rFonts w:ascii="Arial" w:eastAsia="Century Schoolbook" w:hAnsi="Arial" w:cs="Arial"/>
          <w:sz w:val="24"/>
          <w:szCs w:val="24"/>
          <w:lang w:val="en-US"/>
        </w:rPr>
        <w:t xml:space="preserve">more. </w:t>
      </w:r>
      <w:r w:rsidR="001145DD">
        <w:rPr>
          <w:rFonts w:ascii="Arial" w:eastAsia="Century Schoolbook" w:hAnsi="Arial" w:cs="Arial"/>
          <w:sz w:val="24"/>
          <w:szCs w:val="24"/>
          <w:lang w:val="en-US"/>
        </w:rPr>
        <w:t xml:space="preserve"> </w:t>
      </w:r>
      <w:r w:rsidR="007D7483" w:rsidRPr="007D7483">
        <w:rPr>
          <w:rFonts w:ascii="Arial" w:eastAsia="Century Schoolbook" w:hAnsi="Arial" w:cs="Arial"/>
          <w:sz w:val="24"/>
          <w:szCs w:val="24"/>
          <w:lang w:val="en-US"/>
        </w:rPr>
        <w:t>Although the Phylloxera Act did not require the registration and rating o</w:t>
      </w:r>
      <w:r w:rsidR="001145DD">
        <w:rPr>
          <w:rFonts w:ascii="Arial" w:eastAsia="Century Schoolbook" w:hAnsi="Arial" w:cs="Arial"/>
          <w:sz w:val="24"/>
          <w:szCs w:val="24"/>
          <w:lang w:val="en-US"/>
        </w:rPr>
        <w:t>f</w:t>
      </w:r>
      <w:r w:rsidR="007D7483" w:rsidRPr="007D7483">
        <w:rPr>
          <w:rFonts w:ascii="Arial" w:eastAsia="Century Schoolbook" w:hAnsi="Arial" w:cs="Arial"/>
          <w:sz w:val="24"/>
          <w:szCs w:val="24"/>
          <w:lang w:val="en-US"/>
        </w:rPr>
        <w:t xml:space="preserve"> vineyards of less than one acre in area, </w:t>
      </w:r>
      <w:r w:rsidR="001145DD" w:rsidRPr="007D7483">
        <w:rPr>
          <w:rFonts w:ascii="Arial" w:eastAsia="Century Schoolbook" w:hAnsi="Arial" w:cs="Arial"/>
          <w:sz w:val="24"/>
          <w:szCs w:val="24"/>
          <w:lang w:val="en-US"/>
        </w:rPr>
        <w:t>such</w:t>
      </w:r>
      <w:r w:rsidR="007D7483" w:rsidRPr="007D7483">
        <w:rPr>
          <w:rFonts w:ascii="Arial" w:eastAsia="Century Schoolbook" w:hAnsi="Arial" w:cs="Arial"/>
          <w:sz w:val="24"/>
          <w:szCs w:val="24"/>
          <w:lang w:val="en-US"/>
        </w:rPr>
        <w:t xml:space="preserve"> vineyards were subject to the oth</w:t>
      </w:r>
      <w:r w:rsidR="001145DD">
        <w:rPr>
          <w:rFonts w:ascii="Arial" w:eastAsia="Century Schoolbook" w:hAnsi="Arial" w:cs="Arial"/>
          <w:sz w:val="24"/>
          <w:szCs w:val="24"/>
          <w:lang w:val="en-US"/>
        </w:rPr>
        <w:t>er</w:t>
      </w:r>
      <w:r w:rsidR="007D7483" w:rsidRPr="007D7483">
        <w:rPr>
          <w:rFonts w:ascii="Arial" w:eastAsia="Century Schoolbook" w:hAnsi="Arial" w:cs="Arial"/>
          <w:sz w:val="24"/>
          <w:szCs w:val="24"/>
          <w:lang w:val="en-US"/>
        </w:rPr>
        <w:t xml:space="preserve"> provisions of the Act, such as those relating to quarantine.</w:t>
      </w:r>
      <w:r w:rsidR="001145DD">
        <w:rPr>
          <w:rFonts w:ascii="Arial" w:eastAsia="Century Schoolbook" w:hAnsi="Arial" w:cs="Arial"/>
          <w:sz w:val="24"/>
          <w:szCs w:val="24"/>
          <w:lang w:val="en-US"/>
        </w:rPr>
        <w:t xml:space="preserve"> </w:t>
      </w:r>
      <w:r w:rsidR="007D7483" w:rsidRPr="007D7483">
        <w:rPr>
          <w:rFonts w:ascii="Arial" w:eastAsia="Century Schoolbook" w:hAnsi="Arial" w:cs="Arial"/>
          <w:sz w:val="24"/>
          <w:szCs w:val="24"/>
          <w:lang w:val="en-US"/>
        </w:rPr>
        <w:t xml:space="preserve"> But to enforce t</w:t>
      </w:r>
      <w:r w:rsidR="001145DD">
        <w:rPr>
          <w:rFonts w:ascii="Arial" w:eastAsia="Century Schoolbook" w:hAnsi="Arial" w:cs="Arial"/>
          <w:sz w:val="24"/>
          <w:szCs w:val="24"/>
          <w:lang w:val="en-US"/>
        </w:rPr>
        <w:t>hes</w:t>
      </w:r>
      <w:r w:rsidR="007D7483" w:rsidRPr="007D7483">
        <w:rPr>
          <w:rFonts w:ascii="Arial" w:eastAsia="Century Schoolbook" w:hAnsi="Arial" w:cs="Arial"/>
          <w:sz w:val="24"/>
          <w:szCs w:val="24"/>
          <w:lang w:val="en-US"/>
        </w:rPr>
        <w:t>e provisions it was important to have a record of all places where vines were grown. Clause 12 required returns to be furnis</w:t>
      </w:r>
      <w:r w:rsidR="001145DD">
        <w:rPr>
          <w:rFonts w:ascii="Arial" w:eastAsia="Century Schoolbook" w:hAnsi="Arial" w:cs="Arial"/>
          <w:sz w:val="24"/>
          <w:szCs w:val="24"/>
          <w:lang w:val="en-US"/>
        </w:rPr>
        <w:t>hed</w:t>
      </w:r>
      <w:r w:rsidR="007D7483" w:rsidRPr="007D7483">
        <w:rPr>
          <w:rFonts w:ascii="Arial" w:eastAsia="Century Schoolbook" w:hAnsi="Arial" w:cs="Arial"/>
          <w:sz w:val="24"/>
          <w:szCs w:val="24"/>
          <w:lang w:val="en-US"/>
        </w:rPr>
        <w:t xml:space="preserve"> from which such a record might </w:t>
      </w:r>
      <w:proofErr w:type="gramStart"/>
      <w:r w:rsidR="007D7483" w:rsidRPr="007D7483">
        <w:rPr>
          <w:rFonts w:ascii="Arial" w:eastAsia="Century Schoolbook" w:hAnsi="Arial" w:cs="Arial"/>
          <w:sz w:val="24"/>
          <w:szCs w:val="24"/>
          <w:lang w:val="en-US"/>
        </w:rPr>
        <w:t>he</w:t>
      </w:r>
      <w:proofErr w:type="gramEnd"/>
      <w:r w:rsidR="007D7483" w:rsidRPr="007D7483">
        <w:rPr>
          <w:rFonts w:ascii="Arial" w:eastAsia="Century Schoolbook" w:hAnsi="Arial" w:cs="Arial"/>
          <w:sz w:val="24"/>
          <w:szCs w:val="24"/>
          <w:lang w:val="en-US"/>
        </w:rPr>
        <w:t xml:space="preserve"> ke</w:t>
      </w:r>
      <w:r w:rsidR="001145DD">
        <w:rPr>
          <w:rFonts w:ascii="Arial" w:eastAsia="Century Schoolbook" w:hAnsi="Arial" w:cs="Arial"/>
          <w:sz w:val="24"/>
          <w:szCs w:val="24"/>
          <w:lang w:val="en-US"/>
        </w:rPr>
        <w:t xml:space="preserve">pt </w:t>
      </w:r>
      <w:r w:rsidR="007D7483" w:rsidRPr="007D7483">
        <w:rPr>
          <w:rFonts w:ascii="Arial" w:eastAsia="Century Schoolbook" w:hAnsi="Arial" w:cs="Arial"/>
          <w:sz w:val="24"/>
          <w:szCs w:val="24"/>
          <w:lang w:val="en-US"/>
        </w:rPr>
        <w:t>and revised from time to time.</w:t>
      </w:r>
      <w:r w:rsidR="001145DD">
        <w:rPr>
          <w:rFonts w:ascii="Arial" w:eastAsia="Century Schoolbook" w:hAnsi="Arial" w:cs="Arial"/>
          <w:sz w:val="24"/>
          <w:szCs w:val="24"/>
          <w:lang w:val="en-US"/>
        </w:rPr>
        <w:t xml:space="preserve"> </w:t>
      </w:r>
      <w:r w:rsidR="007D7483" w:rsidRPr="007D7483">
        <w:rPr>
          <w:rFonts w:ascii="Arial" w:eastAsia="Century Schoolbook" w:hAnsi="Arial" w:cs="Arial"/>
          <w:sz w:val="24"/>
          <w:szCs w:val="24"/>
          <w:lang w:val="en-US"/>
        </w:rPr>
        <w:t xml:space="preserve"> It might be noted that no rates would be payable, as the Act only enabled rates to be </w:t>
      </w:r>
      <w:r w:rsidR="001145DD">
        <w:rPr>
          <w:rFonts w:ascii="Arial" w:eastAsia="Century Schoolbook" w:hAnsi="Arial" w:cs="Arial"/>
          <w:sz w:val="24"/>
          <w:szCs w:val="24"/>
          <w:lang w:val="en-US"/>
        </w:rPr>
        <w:t>de</w:t>
      </w:r>
      <w:r w:rsidR="007D7483" w:rsidRPr="007D7483">
        <w:rPr>
          <w:rFonts w:ascii="Arial" w:eastAsia="Century Schoolbook" w:hAnsi="Arial" w:cs="Arial"/>
          <w:sz w:val="24"/>
          <w:szCs w:val="24"/>
          <w:lang w:val="en-US"/>
        </w:rPr>
        <w:t xml:space="preserve">clared on vineyards exceeding one acre </w:t>
      </w:r>
      <w:r w:rsidR="001145DD">
        <w:rPr>
          <w:rFonts w:ascii="Arial" w:eastAsia="Century Schoolbook" w:hAnsi="Arial" w:cs="Arial"/>
          <w:sz w:val="24"/>
          <w:szCs w:val="24"/>
          <w:lang w:val="en-US"/>
        </w:rPr>
        <w:t>in</w:t>
      </w:r>
      <w:r w:rsidR="007D7483" w:rsidRPr="007D7483">
        <w:rPr>
          <w:rFonts w:ascii="Arial" w:eastAsia="Century Schoolbook" w:hAnsi="Arial" w:cs="Arial"/>
          <w:sz w:val="24"/>
          <w:szCs w:val="24"/>
          <w:lang w:val="en-US"/>
        </w:rPr>
        <w:t xml:space="preserve"> extent. </w:t>
      </w:r>
      <w:r w:rsidR="001145DD">
        <w:rPr>
          <w:rFonts w:ascii="Arial" w:eastAsia="Century Schoolbook" w:hAnsi="Arial" w:cs="Arial"/>
          <w:sz w:val="24"/>
          <w:szCs w:val="24"/>
          <w:lang w:val="en-US"/>
        </w:rPr>
        <w:t xml:space="preserve"> </w:t>
      </w:r>
      <w:r w:rsidR="007D7483" w:rsidRPr="007D7483">
        <w:rPr>
          <w:rFonts w:ascii="Arial" w:eastAsia="Century Schoolbook" w:hAnsi="Arial" w:cs="Arial"/>
          <w:sz w:val="24"/>
          <w:szCs w:val="24"/>
          <w:lang w:val="en-US"/>
        </w:rPr>
        <w:t>The remaining three clauses of the Bill provided for penalties for failure to furnish returns, and machinery for t</w:t>
      </w:r>
      <w:r w:rsidR="001145DD">
        <w:rPr>
          <w:rFonts w:ascii="Arial" w:eastAsia="Century Schoolbook" w:hAnsi="Arial" w:cs="Arial"/>
          <w:sz w:val="24"/>
          <w:szCs w:val="24"/>
          <w:lang w:val="en-US"/>
        </w:rPr>
        <w:t>he</w:t>
      </w:r>
      <w:r w:rsidR="007D7483" w:rsidRPr="007D7483">
        <w:rPr>
          <w:rFonts w:ascii="Arial" w:eastAsia="Century Schoolbook" w:hAnsi="Arial" w:cs="Arial"/>
          <w:sz w:val="24"/>
          <w:szCs w:val="24"/>
          <w:lang w:val="en-US"/>
        </w:rPr>
        <w:t xml:space="preserve"> more convenient administration of t</w:t>
      </w:r>
      <w:r w:rsidR="001145DD">
        <w:rPr>
          <w:rFonts w:ascii="Arial" w:eastAsia="Century Schoolbook" w:hAnsi="Arial" w:cs="Arial"/>
          <w:sz w:val="24"/>
          <w:szCs w:val="24"/>
          <w:lang w:val="en-US"/>
        </w:rPr>
        <w:t>he</w:t>
      </w:r>
      <w:r w:rsidR="007D7483" w:rsidRPr="007D7483">
        <w:rPr>
          <w:rFonts w:ascii="Arial" w:eastAsia="Century Schoolbook" w:hAnsi="Arial" w:cs="Arial"/>
          <w:sz w:val="24"/>
          <w:szCs w:val="24"/>
          <w:lang w:val="en-US"/>
        </w:rPr>
        <w:t xml:space="preserve"> Act.</w:t>
      </w:r>
    </w:p>
    <w:p w14:paraId="26469EE7" w14:textId="77777777" w:rsidR="001145DD" w:rsidRDefault="001145DD" w:rsidP="001145DD">
      <w:pPr>
        <w:widowControl w:val="0"/>
        <w:spacing w:after="234" w:line="276" w:lineRule="auto"/>
        <w:ind w:right="140"/>
        <w:rPr>
          <w:rFonts w:ascii="Arial" w:eastAsia="Century Schoolbook" w:hAnsi="Arial" w:cs="Arial"/>
          <w:sz w:val="24"/>
          <w:szCs w:val="24"/>
          <w:lang w:val="en-US"/>
        </w:rPr>
      </w:pPr>
    </w:p>
    <w:p w14:paraId="46FE385D" w14:textId="34CFE310" w:rsidR="007D7483" w:rsidRPr="007D7483" w:rsidRDefault="007D7483" w:rsidP="001145DD">
      <w:pPr>
        <w:widowControl w:val="0"/>
        <w:spacing w:after="234" w:line="276" w:lineRule="auto"/>
        <w:ind w:right="140"/>
        <w:rPr>
          <w:rFonts w:ascii="Arial" w:eastAsia="Century Schoolbook" w:hAnsi="Arial" w:cs="Arial"/>
          <w:sz w:val="24"/>
          <w:szCs w:val="24"/>
          <w:lang w:val="en-US"/>
        </w:rPr>
      </w:pPr>
      <w:r w:rsidRPr="007D7483">
        <w:rPr>
          <w:rFonts w:ascii="Arial" w:eastAsia="Century Schoolbook" w:hAnsi="Arial" w:cs="Arial"/>
          <w:sz w:val="24"/>
          <w:szCs w:val="24"/>
          <w:lang w:val="en-US"/>
        </w:rPr>
        <w:t>On the motion of the Hon. R. BUTLER the debate was adjourned till next.</w:t>
      </w:r>
    </w:p>
    <w:p w14:paraId="0172DD96" w14:textId="77777777" w:rsidR="00405C59" w:rsidRPr="00061032" w:rsidRDefault="00405C59" w:rsidP="00061032">
      <w:pPr>
        <w:spacing w:line="276" w:lineRule="auto"/>
        <w:rPr>
          <w:rFonts w:ascii="Arial" w:hAnsi="Arial" w:cs="Arial"/>
          <w:sz w:val="24"/>
          <w:szCs w:val="24"/>
        </w:rPr>
      </w:pPr>
    </w:p>
    <w:sectPr w:rsidR="00405C59" w:rsidRPr="00061032" w:rsidSect="00061032">
      <w:footerReference w:type="default" r:id="rId6"/>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C38E1" w14:textId="77777777" w:rsidR="00A205CF" w:rsidRDefault="00A205CF" w:rsidP="00A205CF">
      <w:pPr>
        <w:spacing w:after="0" w:line="240" w:lineRule="auto"/>
      </w:pPr>
      <w:r>
        <w:separator/>
      </w:r>
    </w:p>
  </w:endnote>
  <w:endnote w:type="continuationSeparator" w:id="0">
    <w:p w14:paraId="039A52C2" w14:textId="77777777" w:rsidR="00A205CF" w:rsidRDefault="00A205CF" w:rsidP="00A20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3D7F6" w14:textId="77777777" w:rsidR="00A205CF" w:rsidRPr="00A205CF" w:rsidRDefault="00A205CF" w:rsidP="00A205CF">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A205CF">
      <w:rPr>
        <w:rFonts w:ascii="Arial" w:eastAsia="Arial Unicode MS" w:hAnsi="Arial" w:cs="Arial"/>
        <w:noProof/>
        <w:color w:val="548DD4"/>
        <w:sz w:val="24"/>
        <w:szCs w:val="24"/>
        <w:lang w:val="en-US"/>
      </w:rPr>
      <w:t>History of Agriculture South Australia</w:t>
    </w:r>
  </w:p>
  <w:bookmarkEnd w:id="0"/>
  <w:p w14:paraId="15684B81" w14:textId="77777777" w:rsidR="00A205CF" w:rsidRDefault="00A205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A4AE2" w14:textId="77777777" w:rsidR="00A205CF" w:rsidRDefault="00A205CF" w:rsidP="00A205CF">
      <w:pPr>
        <w:spacing w:after="0" w:line="240" w:lineRule="auto"/>
      </w:pPr>
      <w:r>
        <w:separator/>
      </w:r>
    </w:p>
  </w:footnote>
  <w:footnote w:type="continuationSeparator" w:id="0">
    <w:p w14:paraId="1D6E5261" w14:textId="77777777" w:rsidR="00A205CF" w:rsidRDefault="00A205CF" w:rsidP="00A205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C59"/>
    <w:rsid w:val="00061032"/>
    <w:rsid w:val="001145DD"/>
    <w:rsid w:val="00405C59"/>
    <w:rsid w:val="00432EE9"/>
    <w:rsid w:val="005559DB"/>
    <w:rsid w:val="007D7483"/>
    <w:rsid w:val="009548FD"/>
    <w:rsid w:val="00A205CF"/>
    <w:rsid w:val="00AC493A"/>
    <w:rsid w:val="00EA7908"/>
    <w:rsid w:val="00F451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EEEC6"/>
  <w15:chartTrackingRefBased/>
  <w15:docId w15:val="{C65370B1-4ACB-468B-9A8D-E8EBF1816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5C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05C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05C5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05C5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05C5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05C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5C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5C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5C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5C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05C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05C5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05C5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05C5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05C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5C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5C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5C59"/>
    <w:rPr>
      <w:rFonts w:eastAsiaTheme="majorEastAsia" w:cstheme="majorBidi"/>
      <w:color w:val="272727" w:themeColor="text1" w:themeTint="D8"/>
    </w:rPr>
  </w:style>
  <w:style w:type="paragraph" w:styleId="Title">
    <w:name w:val="Title"/>
    <w:basedOn w:val="Normal"/>
    <w:next w:val="Normal"/>
    <w:link w:val="TitleChar"/>
    <w:uiPriority w:val="10"/>
    <w:qFormat/>
    <w:rsid w:val="00405C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5C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5C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5C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5C59"/>
    <w:pPr>
      <w:spacing w:before="160"/>
      <w:jc w:val="center"/>
    </w:pPr>
    <w:rPr>
      <w:i/>
      <w:iCs/>
      <w:color w:val="404040" w:themeColor="text1" w:themeTint="BF"/>
    </w:rPr>
  </w:style>
  <w:style w:type="character" w:customStyle="1" w:styleId="QuoteChar">
    <w:name w:val="Quote Char"/>
    <w:basedOn w:val="DefaultParagraphFont"/>
    <w:link w:val="Quote"/>
    <w:uiPriority w:val="29"/>
    <w:rsid w:val="00405C59"/>
    <w:rPr>
      <w:i/>
      <w:iCs/>
      <w:color w:val="404040" w:themeColor="text1" w:themeTint="BF"/>
    </w:rPr>
  </w:style>
  <w:style w:type="paragraph" w:styleId="ListParagraph">
    <w:name w:val="List Paragraph"/>
    <w:basedOn w:val="Normal"/>
    <w:uiPriority w:val="34"/>
    <w:qFormat/>
    <w:rsid w:val="00405C59"/>
    <w:pPr>
      <w:ind w:left="720"/>
      <w:contextualSpacing/>
    </w:pPr>
  </w:style>
  <w:style w:type="character" w:styleId="IntenseEmphasis">
    <w:name w:val="Intense Emphasis"/>
    <w:basedOn w:val="DefaultParagraphFont"/>
    <w:uiPriority w:val="21"/>
    <w:qFormat/>
    <w:rsid w:val="00405C59"/>
    <w:rPr>
      <w:i/>
      <w:iCs/>
      <w:color w:val="2F5496" w:themeColor="accent1" w:themeShade="BF"/>
    </w:rPr>
  </w:style>
  <w:style w:type="paragraph" w:styleId="IntenseQuote">
    <w:name w:val="Intense Quote"/>
    <w:basedOn w:val="Normal"/>
    <w:next w:val="Normal"/>
    <w:link w:val="IntenseQuoteChar"/>
    <w:uiPriority w:val="30"/>
    <w:qFormat/>
    <w:rsid w:val="00405C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05C59"/>
    <w:rPr>
      <w:i/>
      <w:iCs/>
      <w:color w:val="2F5496" w:themeColor="accent1" w:themeShade="BF"/>
    </w:rPr>
  </w:style>
  <w:style w:type="character" w:styleId="IntenseReference">
    <w:name w:val="Intense Reference"/>
    <w:basedOn w:val="DefaultParagraphFont"/>
    <w:uiPriority w:val="32"/>
    <w:qFormat/>
    <w:rsid w:val="00405C59"/>
    <w:rPr>
      <w:b/>
      <w:bCs/>
      <w:smallCaps/>
      <w:color w:val="2F5496" w:themeColor="accent1" w:themeShade="BF"/>
      <w:spacing w:val="5"/>
    </w:rPr>
  </w:style>
  <w:style w:type="paragraph" w:styleId="Header">
    <w:name w:val="header"/>
    <w:basedOn w:val="Normal"/>
    <w:link w:val="HeaderChar"/>
    <w:uiPriority w:val="99"/>
    <w:unhideWhenUsed/>
    <w:rsid w:val="00A205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05CF"/>
  </w:style>
  <w:style w:type="paragraph" w:styleId="Footer">
    <w:name w:val="footer"/>
    <w:basedOn w:val="Normal"/>
    <w:link w:val="FooterChar"/>
    <w:uiPriority w:val="99"/>
    <w:unhideWhenUsed/>
    <w:rsid w:val="00A205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05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628</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Plowman</dc:creator>
  <cp:keywords/>
  <dc:description/>
  <cp:lastModifiedBy>Donald Plowman</cp:lastModifiedBy>
  <cp:revision>4</cp:revision>
  <dcterms:created xsi:type="dcterms:W3CDTF">2025-01-02T03:39:00Z</dcterms:created>
  <dcterms:modified xsi:type="dcterms:W3CDTF">2025-02-18T22:22:00Z</dcterms:modified>
</cp:coreProperties>
</file>