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DFA6" w14:textId="4A527865" w:rsidR="001144EF" w:rsidRPr="006976D9" w:rsidRDefault="006976D9" w:rsidP="00C90DA9">
      <w:pPr>
        <w:spacing w:after="0"/>
        <w:rPr>
          <w:rStyle w:val="Headerorfooter55pt"/>
          <w:rFonts w:ascii="Arial" w:eastAsia="Arial Unicode MS" w:hAnsi="Arial" w:cs="Arial"/>
          <w:color w:val="00439E"/>
          <w:spacing w:val="1"/>
          <w:sz w:val="32"/>
          <w:szCs w:val="32"/>
          <w:lang w:val="en-AU" w:eastAsia="en-AU"/>
        </w:rPr>
      </w:pPr>
      <w:r w:rsidRPr="006976D9">
        <w:rPr>
          <w:rStyle w:val="Headerorfooter55pt"/>
          <w:rFonts w:ascii="Arial" w:eastAsia="Arial Unicode MS" w:hAnsi="Arial" w:cs="Arial"/>
          <w:color w:val="00439E"/>
          <w:spacing w:val="1"/>
          <w:sz w:val="32"/>
          <w:szCs w:val="32"/>
          <w:lang w:val="en-AU" w:eastAsia="en-AU"/>
        </w:rPr>
        <w:t>EIGHT MILE CREEK SETTLEMENT (DRAINAGE MAINTENANCE) ACT AMENDMENT BILL 1970</w:t>
      </w:r>
    </w:p>
    <w:p w14:paraId="4EDE73D6" w14:textId="77777777" w:rsidR="001144EF" w:rsidRPr="001144EF" w:rsidRDefault="001144EF" w:rsidP="00C90DA9">
      <w:pPr>
        <w:spacing w:after="0"/>
        <w:rPr>
          <w:rFonts w:ascii="Arial" w:hAnsi="Arial" w:cs="Arial"/>
          <w:sz w:val="24"/>
          <w:szCs w:val="24"/>
        </w:rPr>
      </w:pPr>
    </w:p>
    <w:p w14:paraId="7211FE9B" w14:textId="050F268E" w:rsidR="001144EF" w:rsidRPr="00C90DA9" w:rsidRDefault="001144EF" w:rsidP="00C90DA9">
      <w:pPr>
        <w:rPr>
          <w:rFonts w:ascii="Arial" w:hAnsi="Arial" w:cs="Arial"/>
          <w:b/>
          <w:bCs/>
          <w:color w:val="365F91" w:themeColor="accent1" w:themeShade="BF"/>
          <w:sz w:val="28"/>
          <w:szCs w:val="28"/>
        </w:rPr>
      </w:pPr>
      <w:r w:rsidRPr="00C90DA9">
        <w:rPr>
          <w:rFonts w:ascii="Arial" w:hAnsi="Arial" w:cs="Arial"/>
          <w:b/>
          <w:bCs/>
          <w:color w:val="365F91" w:themeColor="accent1" w:themeShade="BF"/>
          <w:sz w:val="28"/>
          <w:szCs w:val="28"/>
        </w:rPr>
        <w:t>H</w:t>
      </w:r>
      <w:r w:rsidR="00C90DA9" w:rsidRPr="00C90DA9">
        <w:rPr>
          <w:rFonts w:ascii="Arial" w:hAnsi="Arial" w:cs="Arial"/>
          <w:b/>
          <w:bCs/>
          <w:color w:val="365F91" w:themeColor="accent1" w:themeShade="BF"/>
          <w:sz w:val="28"/>
          <w:szCs w:val="28"/>
        </w:rPr>
        <w:t>ouse of</w:t>
      </w:r>
      <w:r w:rsidRPr="00C90DA9">
        <w:rPr>
          <w:rFonts w:ascii="Arial" w:hAnsi="Arial" w:cs="Arial"/>
          <w:b/>
          <w:bCs/>
          <w:color w:val="365F91" w:themeColor="accent1" w:themeShade="BF"/>
          <w:sz w:val="28"/>
          <w:szCs w:val="28"/>
        </w:rPr>
        <w:t xml:space="preserve"> A</w:t>
      </w:r>
      <w:r w:rsidR="00C90DA9" w:rsidRPr="00C90DA9">
        <w:rPr>
          <w:rFonts w:ascii="Arial" w:hAnsi="Arial" w:cs="Arial"/>
          <w:b/>
          <w:bCs/>
          <w:color w:val="365F91" w:themeColor="accent1" w:themeShade="BF"/>
          <w:sz w:val="28"/>
          <w:szCs w:val="28"/>
        </w:rPr>
        <w:t>ssembly</w:t>
      </w:r>
      <w:r w:rsidRPr="00C90DA9">
        <w:rPr>
          <w:rFonts w:ascii="Arial" w:hAnsi="Arial" w:cs="Arial"/>
          <w:b/>
          <w:bCs/>
          <w:color w:val="365F91" w:themeColor="accent1" w:themeShade="BF"/>
          <w:sz w:val="28"/>
          <w:szCs w:val="28"/>
        </w:rPr>
        <w:t>, 26 N</w:t>
      </w:r>
      <w:r w:rsidR="00C90DA9" w:rsidRPr="00C90DA9">
        <w:rPr>
          <w:rFonts w:ascii="Arial" w:hAnsi="Arial" w:cs="Arial"/>
          <w:b/>
          <w:bCs/>
          <w:color w:val="365F91" w:themeColor="accent1" w:themeShade="BF"/>
          <w:sz w:val="28"/>
          <w:szCs w:val="28"/>
        </w:rPr>
        <w:t>ovember</w:t>
      </w:r>
      <w:r w:rsidRPr="00C90DA9">
        <w:rPr>
          <w:rFonts w:ascii="Arial" w:hAnsi="Arial" w:cs="Arial"/>
          <w:b/>
          <w:bCs/>
          <w:color w:val="365F91" w:themeColor="accent1" w:themeShade="BF"/>
          <w:sz w:val="28"/>
          <w:szCs w:val="28"/>
        </w:rPr>
        <w:t xml:space="preserve"> 1970, </w:t>
      </w:r>
      <w:r w:rsidR="00C90DA9" w:rsidRPr="00C90DA9">
        <w:rPr>
          <w:rFonts w:ascii="Arial" w:hAnsi="Arial" w:cs="Arial"/>
          <w:b/>
          <w:bCs/>
          <w:color w:val="365F91" w:themeColor="accent1" w:themeShade="BF"/>
          <w:sz w:val="28"/>
          <w:szCs w:val="28"/>
        </w:rPr>
        <w:t>page</w:t>
      </w:r>
      <w:r w:rsidRPr="00C90DA9">
        <w:rPr>
          <w:rFonts w:ascii="Arial" w:hAnsi="Arial" w:cs="Arial"/>
          <w:b/>
          <w:bCs/>
          <w:color w:val="365F91" w:themeColor="accent1" w:themeShade="BF"/>
          <w:sz w:val="28"/>
          <w:szCs w:val="28"/>
        </w:rPr>
        <w:t xml:space="preserve"> 3128</w:t>
      </w:r>
    </w:p>
    <w:p w14:paraId="32863399" w14:textId="4E3FE53F" w:rsidR="001144EF" w:rsidRPr="001144EF" w:rsidRDefault="001144EF" w:rsidP="00C90DA9">
      <w:pPr>
        <w:spacing w:after="0"/>
        <w:rPr>
          <w:rFonts w:ascii="Arial" w:hAnsi="Arial" w:cs="Arial"/>
          <w:sz w:val="24"/>
          <w:szCs w:val="24"/>
        </w:rPr>
      </w:pPr>
    </w:p>
    <w:p w14:paraId="044A7224" w14:textId="3BDF0A8E" w:rsidR="001144EF" w:rsidRPr="00C90DA9" w:rsidRDefault="001144EF" w:rsidP="00C90DA9">
      <w:pPr>
        <w:spacing w:after="0"/>
        <w:rPr>
          <w:rStyle w:val="Headerorfooter55pt"/>
          <w:rFonts w:ascii="Arial" w:eastAsia="Arial Unicode MS" w:hAnsi="Arial" w:cs="Arial"/>
          <w:b w:val="0"/>
          <w:bCs w:val="0"/>
          <w:smallCaps w:val="0"/>
          <w:color w:val="00439E"/>
          <w:spacing w:val="1"/>
          <w:sz w:val="28"/>
          <w:szCs w:val="28"/>
          <w:lang w:val="en-AU" w:eastAsia="en-AU"/>
        </w:rPr>
      </w:pPr>
      <w:r w:rsidRPr="00C90DA9">
        <w:rPr>
          <w:rStyle w:val="Headerorfooter55pt"/>
          <w:rFonts w:ascii="Arial" w:eastAsia="Arial Unicode MS" w:hAnsi="Arial" w:cs="Arial"/>
          <w:b w:val="0"/>
          <w:bCs w:val="0"/>
          <w:smallCaps w:val="0"/>
          <w:color w:val="00439E"/>
          <w:spacing w:val="1"/>
          <w:sz w:val="28"/>
          <w:szCs w:val="28"/>
          <w:lang w:val="en-AU" w:eastAsia="en-AU"/>
        </w:rPr>
        <w:t xml:space="preserve">Second </w:t>
      </w:r>
      <w:r w:rsidR="00C90DA9" w:rsidRPr="00C90DA9">
        <w:rPr>
          <w:rStyle w:val="Headerorfooter55pt"/>
          <w:rFonts w:ascii="Arial" w:eastAsia="Arial Unicode MS" w:hAnsi="Arial" w:cs="Arial"/>
          <w:b w:val="0"/>
          <w:bCs w:val="0"/>
          <w:smallCaps w:val="0"/>
          <w:color w:val="00439E"/>
          <w:spacing w:val="1"/>
          <w:sz w:val="28"/>
          <w:szCs w:val="28"/>
          <w:lang w:val="en-AU" w:eastAsia="en-AU"/>
        </w:rPr>
        <w:t>r</w:t>
      </w:r>
      <w:r w:rsidRPr="00C90DA9">
        <w:rPr>
          <w:rStyle w:val="Headerorfooter55pt"/>
          <w:rFonts w:ascii="Arial" w:eastAsia="Arial Unicode MS" w:hAnsi="Arial" w:cs="Arial"/>
          <w:b w:val="0"/>
          <w:bCs w:val="0"/>
          <w:smallCaps w:val="0"/>
          <w:color w:val="00439E"/>
          <w:spacing w:val="1"/>
          <w:sz w:val="28"/>
          <w:szCs w:val="28"/>
          <w:lang w:val="en-AU" w:eastAsia="en-AU"/>
        </w:rPr>
        <w:t>eading</w:t>
      </w:r>
    </w:p>
    <w:p w14:paraId="003911EA" w14:textId="77777777" w:rsidR="001144EF" w:rsidRPr="001144EF" w:rsidRDefault="001144EF" w:rsidP="001144EF">
      <w:pPr>
        <w:spacing w:after="0"/>
        <w:rPr>
          <w:rFonts w:ascii="Arial" w:hAnsi="Arial" w:cs="Arial"/>
          <w:sz w:val="24"/>
          <w:szCs w:val="24"/>
        </w:rPr>
      </w:pPr>
    </w:p>
    <w:p w14:paraId="7DD7A07A" w14:textId="07A0B492" w:rsidR="006976D9" w:rsidRDefault="001144EF" w:rsidP="001144EF">
      <w:pPr>
        <w:spacing w:after="0"/>
        <w:rPr>
          <w:rFonts w:ascii="Arial" w:hAnsi="Arial" w:cs="Arial"/>
          <w:sz w:val="24"/>
          <w:szCs w:val="24"/>
        </w:rPr>
      </w:pPr>
      <w:r w:rsidRPr="00C90DA9">
        <w:rPr>
          <w:rFonts w:ascii="Arial" w:hAnsi="Arial" w:cs="Arial"/>
          <w:b/>
          <w:bCs/>
          <w:sz w:val="24"/>
          <w:szCs w:val="24"/>
        </w:rPr>
        <w:t>The Hon. J. D. CORCORAN (Minister of Works)</w:t>
      </w:r>
      <w:r w:rsidRPr="001144EF">
        <w:rPr>
          <w:rFonts w:ascii="Arial" w:hAnsi="Arial" w:cs="Arial"/>
          <w:sz w:val="24"/>
          <w:szCs w:val="24"/>
        </w:rPr>
        <w:t xml:space="preserve"> obtained leave and introduced a Bill for an Act to amend the Eight Mile Creek Settlement (Drainage Maintenance) Act, 1959-1965.</w:t>
      </w:r>
      <w:r w:rsidR="00C90DA9">
        <w:rPr>
          <w:rFonts w:ascii="Arial" w:hAnsi="Arial" w:cs="Arial"/>
          <w:sz w:val="24"/>
          <w:szCs w:val="24"/>
        </w:rPr>
        <w:t xml:space="preserve"> </w:t>
      </w:r>
      <w:r w:rsidRPr="001144EF">
        <w:rPr>
          <w:rFonts w:ascii="Arial" w:hAnsi="Arial" w:cs="Arial"/>
          <w:sz w:val="24"/>
          <w:szCs w:val="24"/>
        </w:rPr>
        <w:t xml:space="preserve"> Read a first time. </w:t>
      </w:r>
    </w:p>
    <w:p w14:paraId="780E0045" w14:textId="77777777" w:rsidR="006976D9" w:rsidRDefault="006976D9" w:rsidP="001144EF">
      <w:pPr>
        <w:spacing w:after="0"/>
        <w:rPr>
          <w:rFonts w:ascii="Arial" w:hAnsi="Arial" w:cs="Arial"/>
          <w:sz w:val="24"/>
          <w:szCs w:val="24"/>
        </w:rPr>
      </w:pPr>
    </w:p>
    <w:p w14:paraId="2F921B76" w14:textId="77777777" w:rsidR="006976D9" w:rsidRDefault="001144EF" w:rsidP="001144EF">
      <w:pPr>
        <w:spacing w:after="0"/>
        <w:rPr>
          <w:rFonts w:ascii="Arial" w:hAnsi="Arial" w:cs="Arial"/>
          <w:sz w:val="24"/>
          <w:szCs w:val="24"/>
        </w:rPr>
      </w:pPr>
      <w:r w:rsidRPr="001144EF">
        <w:rPr>
          <w:rFonts w:ascii="Arial" w:hAnsi="Arial" w:cs="Arial"/>
          <w:sz w:val="24"/>
          <w:szCs w:val="24"/>
        </w:rPr>
        <w:t xml:space="preserve">The Hon. J. D. CORCORAN: I move: </w:t>
      </w:r>
    </w:p>
    <w:p w14:paraId="02712421" w14:textId="7EB2E1EC" w:rsidR="006976D9" w:rsidRPr="006976D9" w:rsidRDefault="001144EF" w:rsidP="001144EF">
      <w:pPr>
        <w:spacing w:after="0"/>
        <w:rPr>
          <w:rFonts w:ascii="Arial" w:hAnsi="Arial" w:cs="Arial"/>
          <w:i/>
          <w:iCs/>
          <w:sz w:val="24"/>
          <w:szCs w:val="24"/>
        </w:rPr>
      </w:pPr>
      <w:r w:rsidRPr="006976D9">
        <w:rPr>
          <w:rFonts w:ascii="Arial" w:hAnsi="Arial" w:cs="Arial"/>
          <w:i/>
          <w:iCs/>
          <w:sz w:val="24"/>
          <w:szCs w:val="24"/>
        </w:rPr>
        <w:t xml:space="preserve">That this Bill be now read a second time. </w:t>
      </w:r>
    </w:p>
    <w:p w14:paraId="5F37E757" w14:textId="77777777" w:rsidR="006976D9" w:rsidRDefault="006976D9" w:rsidP="001144EF">
      <w:pPr>
        <w:spacing w:after="0"/>
        <w:rPr>
          <w:rFonts w:ascii="Arial" w:hAnsi="Arial" w:cs="Arial"/>
          <w:sz w:val="24"/>
          <w:szCs w:val="24"/>
        </w:rPr>
      </w:pPr>
    </w:p>
    <w:p w14:paraId="5A718849" w14:textId="3B3BF2D2" w:rsidR="006976D9" w:rsidRDefault="001144EF" w:rsidP="001144EF">
      <w:pPr>
        <w:spacing w:after="0"/>
        <w:rPr>
          <w:rFonts w:ascii="Arial" w:hAnsi="Arial" w:cs="Arial"/>
          <w:sz w:val="24"/>
          <w:szCs w:val="24"/>
        </w:rPr>
      </w:pPr>
      <w:r w:rsidRPr="001144EF">
        <w:rPr>
          <w:rFonts w:ascii="Arial" w:hAnsi="Arial" w:cs="Arial"/>
          <w:sz w:val="24"/>
          <w:szCs w:val="24"/>
        </w:rPr>
        <w:t xml:space="preserve">It makes a number of amendments to the rating provisions of the Eight Mile Creek Settlement (Drainage Maintenance) Act. </w:t>
      </w:r>
      <w:r w:rsidR="00C90DA9">
        <w:rPr>
          <w:rFonts w:ascii="Arial" w:hAnsi="Arial" w:cs="Arial"/>
          <w:sz w:val="24"/>
          <w:szCs w:val="24"/>
        </w:rPr>
        <w:t xml:space="preserve"> </w:t>
      </w:r>
      <w:r w:rsidRPr="001144EF">
        <w:rPr>
          <w:rFonts w:ascii="Arial" w:hAnsi="Arial" w:cs="Arial"/>
          <w:sz w:val="24"/>
          <w:szCs w:val="24"/>
        </w:rPr>
        <w:t xml:space="preserve">The principal Act, as honourable members are no doubt aware, provides for the maintenance and upkeep of the drainage system serving portions of the hundreds of MacDonnell and Caroline, and imposes a levy upon landholders in the area by which the cost of such maintenance may be defrayed. </w:t>
      </w:r>
    </w:p>
    <w:p w14:paraId="4A7160A0" w14:textId="77777777" w:rsidR="006976D9" w:rsidRDefault="006976D9" w:rsidP="001144EF">
      <w:pPr>
        <w:spacing w:after="0"/>
        <w:rPr>
          <w:rFonts w:ascii="Arial" w:hAnsi="Arial" w:cs="Arial"/>
          <w:sz w:val="24"/>
          <w:szCs w:val="24"/>
        </w:rPr>
      </w:pPr>
    </w:p>
    <w:p w14:paraId="34087094" w14:textId="54E4F614" w:rsidR="006976D9" w:rsidRDefault="001144EF" w:rsidP="001144EF">
      <w:pPr>
        <w:spacing w:after="0"/>
        <w:rPr>
          <w:rFonts w:ascii="Arial" w:hAnsi="Arial" w:cs="Arial"/>
          <w:sz w:val="24"/>
          <w:szCs w:val="24"/>
        </w:rPr>
      </w:pPr>
      <w:proofErr w:type="gramStart"/>
      <w:r w:rsidRPr="001144EF">
        <w:rPr>
          <w:rFonts w:ascii="Arial" w:hAnsi="Arial" w:cs="Arial"/>
          <w:sz w:val="24"/>
          <w:szCs w:val="24"/>
        </w:rPr>
        <w:t>For the purpose of</w:t>
      </w:r>
      <w:proofErr w:type="gramEnd"/>
      <w:r w:rsidRPr="001144EF">
        <w:rPr>
          <w:rFonts w:ascii="Arial" w:hAnsi="Arial" w:cs="Arial"/>
          <w:sz w:val="24"/>
          <w:szCs w:val="24"/>
        </w:rPr>
        <w:t xml:space="preserve"> levying rates, the Land Board constituted under the Crown Lands Act is charged with the duty of making an assessment of the unimproved value of all land within the area.</w:t>
      </w:r>
      <w:r w:rsidR="00C90DA9">
        <w:rPr>
          <w:rFonts w:ascii="Arial" w:hAnsi="Arial" w:cs="Arial"/>
          <w:sz w:val="24"/>
          <w:szCs w:val="24"/>
        </w:rPr>
        <w:t xml:space="preserve"> </w:t>
      </w:r>
      <w:r w:rsidRPr="001144EF">
        <w:rPr>
          <w:rFonts w:ascii="Arial" w:hAnsi="Arial" w:cs="Arial"/>
          <w:sz w:val="24"/>
          <w:szCs w:val="24"/>
        </w:rPr>
        <w:t xml:space="preserve"> It is felt that this function can now, following the establishment of a separate Valuation Department, be carried out more appropriately by the Valuer-General. </w:t>
      </w:r>
      <w:r w:rsidR="00C90DA9">
        <w:rPr>
          <w:rFonts w:ascii="Arial" w:hAnsi="Arial" w:cs="Arial"/>
          <w:sz w:val="24"/>
          <w:szCs w:val="24"/>
        </w:rPr>
        <w:t xml:space="preserve"> </w:t>
      </w:r>
      <w:r w:rsidRPr="001144EF">
        <w:rPr>
          <w:rFonts w:ascii="Arial" w:hAnsi="Arial" w:cs="Arial"/>
          <w:sz w:val="24"/>
          <w:szCs w:val="24"/>
        </w:rPr>
        <w:t>The Bill therefore amends the principal Act to enable the board to utilize the services of the Valuer-General.</w:t>
      </w:r>
      <w:r w:rsidR="00C90DA9">
        <w:rPr>
          <w:rFonts w:ascii="Arial" w:hAnsi="Arial" w:cs="Arial"/>
          <w:sz w:val="24"/>
          <w:szCs w:val="24"/>
        </w:rPr>
        <w:t xml:space="preserve"> </w:t>
      </w:r>
      <w:r w:rsidRPr="001144EF">
        <w:rPr>
          <w:rFonts w:ascii="Arial" w:hAnsi="Arial" w:cs="Arial"/>
          <w:sz w:val="24"/>
          <w:szCs w:val="24"/>
        </w:rPr>
        <w:t xml:space="preserve"> The principal Act provides for an appeal against a valuation in the first instance to the Minister followed by a further appeal to the Local Court. </w:t>
      </w:r>
      <w:r w:rsidR="00C90DA9">
        <w:rPr>
          <w:rFonts w:ascii="Arial" w:hAnsi="Arial" w:cs="Arial"/>
          <w:sz w:val="24"/>
          <w:szCs w:val="24"/>
        </w:rPr>
        <w:t xml:space="preserve"> </w:t>
      </w:r>
      <w:r w:rsidRPr="001144EF">
        <w:rPr>
          <w:rFonts w:ascii="Arial" w:hAnsi="Arial" w:cs="Arial"/>
          <w:sz w:val="24"/>
          <w:szCs w:val="24"/>
        </w:rPr>
        <w:t xml:space="preserve">Now that the Land and Valuation Court has been established, it seems appropriate that this further appeal from the decision of the Minister should be heard by that court. </w:t>
      </w:r>
      <w:r w:rsidR="00C90DA9">
        <w:rPr>
          <w:rFonts w:ascii="Arial" w:hAnsi="Arial" w:cs="Arial"/>
          <w:sz w:val="24"/>
          <w:szCs w:val="24"/>
        </w:rPr>
        <w:t xml:space="preserve"> </w:t>
      </w:r>
      <w:r w:rsidRPr="001144EF">
        <w:rPr>
          <w:rFonts w:ascii="Arial" w:hAnsi="Arial" w:cs="Arial"/>
          <w:sz w:val="24"/>
          <w:szCs w:val="24"/>
        </w:rPr>
        <w:t xml:space="preserve">The Bill therefore makes an appropriate amendment to achieve that purpose. </w:t>
      </w:r>
      <w:r w:rsidR="00C90DA9">
        <w:rPr>
          <w:rFonts w:ascii="Arial" w:hAnsi="Arial" w:cs="Arial"/>
          <w:sz w:val="24"/>
          <w:szCs w:val="24"/>
        </w:rPr>
        <w:t xml:space="preserve"> </w:t>
      </w:r>
      <w:r w:rsidRPr="001144EF">
        <w:rPr>
          <w:rFonts w:ascii="Arial" w:hAnsi="Arial" w:cs="Arial"/>
          <w:sz w:val="24"/>
          <w:szCs w:val="24"/>
        </w:rPr>
        <w:t xml:space="preserve">The Bill also raises the interest payable on overdue rates from 5 per cent to 10 per cent a year. </w:t>
      </w:r>
      <w:r w:rsidR="00C90DA9">
        <w:rPr>
          <w:rFonts w:ascii="Arial" w:hAnsi="Arial" w:cs="Arial"/>
          <w:sz w:val="24"/>
          <w:szCs w:val="24"/>
        </w:rPr>
        <w:t xml:space="preserve"> </w:t>
      </w:r>
      <w:r w:rsidRPr="001144EF">
        <w:rPr>
          <w:rFonts w:ascii="Arial" w:hAnsi="Arial" w:cs="Arial"/>
          <w:sz w:val="24"/>
          <w:szCs w:val="24"/>
        </w:rPr>
        <w:t xml:space="preserve">This brings the principal Act into conformity with the Crown Lands Act in this respect. </w:t>
      </w:r>
    </w:p>
    <w:p w14:paraId="4DC79789" w14:textId="77777777" w:rsidR="006976D9" w:rsidRDefault="006976D9" w:rsidP="001144EF">
      <w:pPr>
        <w:spacing w:after="0"/>
        <w:rPr>
          <w:rFonts w:ascii="Arial" w:hAnsi="Arial" w:cs="Arial"/>
          <w:sz w:val="24"/>
          <w:szCs w:val="24"/>
        </w:rPr>
      </w:pPr>
    </w:p>
    <w:p w14:paraId="7E59CFAB" w14:textId="5C4318A9" w:rsidR="006976D9" w:rsidRDefault="001144EF" w:rsidP="001144EF">
      <w:pPr>
        <w:spacing w:after="0"/>
        <w:rPr>
          <w:rFonts w:ascii="Arial" w:hAnsi="Arial" w:cs="Arial"/>
          <w:sz w:val="24"/>
          <w:szCs w:val="24"/>
        </w:rPr>
      </w:pPr>
      <w:r w:rsidRPr="001144EF">
        <w:rPr>
          <w:rFonts w:ascii="Arial" w:hAnsi="Arial" w:cs="Arial"/>
          <w:sz w:val="24"/>
          <w:szCs w:val="24"/>
        </w:rPr>
        <w:t>The provisions of the Bill are as follows: Clause 1 is formal.</w:t>
      </w:r>
      <w:r w:rsidR="00C90DA9">
        <w:rPr>
          <w:rFonts w:ascii="Arial" w:hAnsi="Arial" w:cs="Arial"/>
          <w:sz w:val="24"/>
          <w:szCs w:val="24"/>
        </w:rPr>
        <w:t xml:space="preserve"> </w:t>
      </w:r>
      <w:r w:rsidRPr="001144EF">
        <w:rPr>
          <w:rFonts w:ascii="Arial" w:hAnsi="Arial" w:cs="Arial"/>
          <w:sz w:val="24"/>
          <w:szCs w:val="24"/>
        </w:rPr>
        <w:t xml:space="preserve"> Clause 2 inserts a definition of the Land and Valuation Court in the principal Act. </w:t>
      </w:r>
      <w:r w:rsidR="00C90DA9">
        <w:rPr>
          <w:rFonts w:ascii="Arial" w:hAnsi="Arial" w:cs="Arial"/>
          <w:sz w:val="24"/>
          <w:szCs w:val="24"/>
        </w:rPr>
        <w:t xml:space="preserve"> </w:t>
      </w:r>
      <w:r w:rsidRPr="001144EF">
        <w:rPr>
          <w:rFonts w:ascii="Arial" w:hAnsi="Arial" w:cs="Arial"/>
          <w:sz w:val="24"/>
          <w:szCs w:val="24"/>
        </w:rPr>
        <w:t xml:space="preserve">Clause 3 amends section 5 of the principal Act. </w:t>
      </w:r>
      <w:r w:rsidR="00C90DA9">
        <w:rPr>
          <w:rFonts w:ascii="Arial" w:hAnsi="Arial" w:cs="Arial"/>
          <w:sz w:val="24"/>
          <w:szCs w:val="24"/>
        </w:rPr>
        <w:t xml:space="preserve"> </w:t>
      </w:r>
      <w:r w:rsidRPr="001144EF">
        <w:rPr>
          <w:rFonts w:ascii="Arial" w:hAnsi="Arial" w:cs="Arial"/>
          <w:sz w:val="24"/>
          <w:szCs w:val="24"/>
        </w:rPr>
        <w:t xml:space="preserve">The amendment enables the Land Board to delegate its valuing functions to the Valuer-General. </w:t>
      </w:r>
    </w:p>
    <w:p w14:paraId="296B4F8E" w14:textId="77777777" w:rsidR="006976D9" w:rsidRDefault="006976D9" w:rsidP="001144EF">
      <w:pPr>
        <w:spacing w:after="0"/>
        <w:rPr>
          <w:rFonts w:ascii="Arial" w:hAnsi="Arial" w:cs="Arial"/>
          <w:sz w:val="24"/>
          <w:szCs w:val="24"/>
        </w:rPr>
      </w:pPr>
    </w:p>
    <w:p w14:paraId="31E705DB" w14:textId="77777777" w:rsidR="006976D9" w:rsidRDefault="001144EF" w:rsidP="001144EF">
      <w:pPr>
        <w:spacing w:after="0"/>
        <w:rPr>
          <w:rFonts w:ascii="Arial" w:hAnsi="Arial" w:cs="Arial"/>
          <w:sz w:val="24"/>
          <w:szCs w:val="24"/>
        </w:rPr>
      </w:pPr>
      <w:r w:rsidRPr="001144EF">
        <w:rPr>
          <w:rFonts w:ascii="Arial" w:hAnsi="Arial" w:cs="Arial"/>
          <w:sz w:val="24"/>
          <w:szCs w:val="24"/>
        </w:rPr>
        <w:lastRenderedPageBreak/>
        <w:t xml:space="preserve">The SPEAKER: Order! The Minister is making a second reading explanation, and there is too much audible conversation. </w:t>
      </w:r>
    </w:p>
    <w:p w14:paraId="38269DE0" w14:textId="77777777" w:rsidR="006976D9" w:rsidRDefault="006976D9" w:rsidP="001144EF">
      <w:pPr>
        <w:spacing w:after="0"/>
        <w:rPr>
          <w:rFonts w:ascii="Arial" w:hAnsi="Arial" w:cs="Arial"/>
          <w:sz w:val="24"/>
          <w:szCs w:val="24"/>
        </w:rPr>
      </w:pPr>
    </w:p>
    <w:p w14:paraId="1B4D454D" w14:textId="54D8D9D1" w:rsidR="006976D9" w:rsidRDefault="001144EF" w:rsidP="001144EF">
      <w:pPr>
        <w:spacing w:after="0"/>
        <w:rPr>
          <w:rFonts w:ascii="Arial" w:hAnsi="Arial" w:cs="Arial"/>
          <w:sz w:val="24"/>
          <w:szCs w:val="24"/>
        </w:rPr>
      </w:pPr>
      <w:r w:rsidRPr="001144EF">
        <w:rPr>
          <w:rFonts w:ascii="Arial" w:hAnsi="Arial" w:cs="Arial"/>
          <w:sz w:val="24"/>
          <w:szCs w:val="24"/>
        </w:rPr>
        <w:t xml:space="preserve">The Hon. J. D. CORCORAN: New subsections (2) and (2a) are substituted. </w:t>
      </w:r>
      <w:r w:rsidR="00C90DA9">
        <w:rPr>
          <w:rFonts w:ascii="Arial" w:hAnsi="Arial" w:cs="Arial"/>
          <w:sz w:val="24"/>
          <w:szCs w:val="24"/>
        </w:rPr>
        <w:t xml:space="preserve"> </w:t>
      </w:r>
      <w:r w:rsidRPr="001144EF">
        <w:rPr>
          <w:rFonts w:ascii="Arial" w:hAnsi="Arial" w:cs="Arial"/>
          <w:sz w:val="24"/>
          <w:szCs w:val="24"/>
        </w:rPr>
        <w:t xml:space="preserve">These subsections provide for reports to be made by the valuer and furnished to the landholder. </w:t>
      </w:r>
      <w:r w:rsidR="00C90DA9">
        <w:rPr>
          <w:rFonts w:ascii="Arial" w:hAnsi="Arial" w:cs="Arial"/>
          <w:sz w:val="24"/>
          <w:szCs w:val="24"/>
        </w:rPr>
        <w:t xml:space="preserve"> </w:t>
      </w:r>
      <w:r w:rsidRPr="001144EF">
        <w:rPr>
          <w:rFonts w:ascii="Arial" w:hAnsi="Arial" w:cs="Arial"/>
          <w:sz w:val="24"/>
          <w:szCs w:val="24"/>
        </w:rPr>
        <w:t xml:space="preserve">Clause 4 makes a consequential amendment. </w:t>
      </w:r>
      <w:r w:rsidR="00C90DA9">
        <w:rPr>
          <w:rFonts w:ascii="Arial" w:hAnsi="Arial" w:cs="Arial"/>
          <w:sz w:val="24"/>
          <w:szCs w:val="24"/>
        </w:rPr>
        <w:t xml:space="preserve"> </w:t>
      </w:r>
      <w:r w:rsidRPr="001144EF">
        <w:rPr>
          <w:rFonts w:ascii="Arial" w:hAnsi="Arial" w:cs="Arial"/>
          <w:sz w:val="24"/>
          <w:szCs w:val="24"/>
        </w:rPr>
        <w:t xml:space="preserve">Clauses 5, 6, 7 and 8 provide for an appeal from a decision of the Minister on a question of valuation to be heard by the Land and Valuation Court. </w:t>
      </w:r>
      <w:r w:rsidR="00C90DA9">
        <w:rPr>
          <w:rFonts w:ascii="Arial" w:hAnsi="Arial" w:cs="Arial"/>
          <w:sz w:val="24"/>
          <w:szCs w:val="24"/>
        </w:rPr>
        <w:t xml:space="preserve"> </w:t>
      </w:r>
      <w:r w:rsidRPr="001144EF">
        <w:rPr>
          <w:rFonts w:ascii="Arial" w:hAnsi="Arial" w:cs="Arial"/>
          <w:sz w:val="24"/>
          <w:szCs w:val="24"/>
        </w:rPr>
        <w:t>Clause 9 amends section 13 of the principal Act.</w:t>
      </w:r>
      <w:r w:rsidR="00C90DA9">
        <w:rPr>
          <w:rFonts w:ascii="Arial" w:hAnsi="Arial" w:cs="Arial"/>
          <w:sz w:val="24"/>
          <w:szCs w:val="24"/>
        </w:rPr>
        <w:t xml:space="preserve"> </w:t>
      </w:r>
      <w:r w:rsidRPr="001144EF">
        <w:rPr>
          <w:rFonts w:ascii="Arial" w:hAnsi="Arial" w:cs="Arial"/>
          <w:sz w:val="24"/>
          <w:szCs w:val="24"/>
        </w:rPr>
        <w:t xml:space="preserve"> The section as amended will provide for a penalty at the rate of 10 per cent a year to accrue on overdue rates. </w:t>
      </w:r>
    </w:p>
    <w:p w14:paraId="02F53F2F" w14:textId="77777777" w:rsidR="006976D9" w:rsidRDefault="006976D9" w:rsidP="001144EF">
      <w:pPr>
        <w:spacing w:after="0"/>
        <w:rPr>
          <w:rFonts w:ascii="Arial" w:hAnsi="Arial" w:cs="Arial"/>
          <w:sz w:val="24"/>
          <w:szCs w:val="24"/>
        </w:rPr>
      </w:pPr>
    </w:p>
    <w:p w14:paraId="10EAE328" w14:textId="7E6850EB" w:rsidR="002413F6" w:rsidRPr="001144EF" w:rsidRDefault="001144EF" w:rsidP="001144EF">
      <w:pPr>
        <w:spacing w:after="0"/>
        <w:rPr>
          <w:rFonts w:ascii="Arial" w:hAnsi="Arial" w:cs="Arial"/>
          <w:sz w:val="24"/>
          <w:szCs w:val="24"/>
        </w:rPr>
      </w:pPr>
      <w:r w:rsidRPr="001144EF">
        <w:rPr>
          <w:rFonts w:ascii="Arial" w:hAnsi="Arial" w:cs="Arial"/>
          <w:sz w:val="24"/>
          <w:szCs w:val="24"/>
        </w:rPr>
        <w:t>Mr. RODDA secured the adjournment of the debate.</w:t>
      </w:r>
    </w:p>
    <w:sectPr w:rsidR="002413F6" w:rsidRPr="001144EF" w:rsidSect="001144E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57D3" w14:textId="77777777" w:rsidR="00C90DA9" w:rsidRDefault="00C90DA9" w:rsidP="00C90DA9">
      <w:pPr>
        <w:spacing w:after="0" w:line="240" w:lineRule="auto"/>
      </w:pPr>
      <w:r>
        <w:separator/>
      </w:r>
    </w:p>
  </w:endnote>
  <w:endnote w:type="continuationSeparator" w:id="0">
    <w:p w14:paraId="271BFE6D" w14:textId="77777777" w:rsidR="00C90DA9" w:rsidRDefault="00C90DA9" w:rsidP="00C9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724E" w14:textId="77777777" w:rsidR="00C90DA9" w:rsidRPr="00C90DA9" w:rsidRDefault="00C90DA9" w:rsidP="00C90DA9">
    <w:pPr>
      <w:pStyle w:val="Footer"/>
      <w:jc w:val="right"/>
      <w:rPr>
        <w:rFonts w:ascii="Arial" w:hAnsi="Arial" w:cs="Arial"/>
        <w:sz w:val="24"/>
        <w:szCs w:val="24"/>
        <w:lang w:val="en-US"/>
      </w:rPr>
    </w:pPr>
    <w:bookmarkStart w:id="0" w:name="_Hlk100847524"/>
    <w:r w:rsidRPr="00C90DA9">
      <w:rPr>
        <w:rFonts w:ascii="Arial" w:hAnsi="Arial" w:cs="Arial"/>
        <w:color w:val="365F91" w:themeColor="accent1" w:themeShade="BF"/>
        <w:sz w:val="24"/>
        <w:szCs w:val="24"/>
        <w:lang w:val="en-US"/>
      </w:rPr>
      <w:t>History of Agriculture South Australia</w:t>
    </w:r>
  </w:p>
  <w:bookmarkEnd w:id="0"/>
  <w:p w14:paraId="23ED8F98" w14:textId="77777777" w:rsidR="00C90DA9" w:rsidRDefault="00C9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79F5" w14:textId="77777777" w:rsidR="00C90DA9" w:rsidRDefault="00C90DA9" w:rsidP="00C90DA9">
      <w:pPr>
        <w:spacing w:after="0" w:line="240" w:lineRule="auto"/>
      </w:pPr>
      <w:r>
        <w:separator/>
      </w:r>
    </w:p>
  </w:footnote>
  <w:footnote w:type="continuationSeparator" w:id="0">
    <w:p w14:paraId="036D24EF" w14:textId="77777777" w:rsidR="00C90DA9" w:rsidRDefault="00C90DA9" w:rsidP="00C90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EF"/>
    <w:rsid w:val="001144EF"/>
    <w:rsid w:val="002413F6"/>
    <w:rsid w:val="006976D9"/>
    <w:rsid w:val="00C90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9581"/>
  <w15:chartTrackingRefBased/>
  <w15:docId w15:val="{C11C3C8B-68C1-404F-BC7D-44079935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6976D9"/>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Header">
    <w:name w:val="header"/>
    <w:basedOn w:val="Normal"/>
    <w:link w:val="HeaderChar"/>
    <w:uiPriority w:val="99"/>
    <w:unhideWhenUsed/>
    <w:rsid w:val="00C9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DA9"/>
  </w:style>
  <w:style w:type="paragraph" w:styleId="Footer">
    <w:name w:val="footer"/>
    <w:basedOn w:val="Normal"/>
    <w:link w:val="FooterChar"/>
    <w:uiPriority w:val="99"/>
    <w:unhideWhenUsed/>
    <w:rsid w:val="00C9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2023-02-06T09:22:00Z</dcterms:created>
  <dcterms:modified xsi:type="dcterms:W3CDTF">2023-02-07T05:15:00Z</dcterms:modified>
</cp:coreProperties>
</file>