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0402" w14:textId="4D3140A0" w:rsidR="00B209F6" w:rsidRPr="005172B5" w:rsidRDefault="005172B5" w:rsidP="005172B5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5172B5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  <w:t>IMPOUNDING ACT AMENDMENT BILL 1975</w:t>
      </w:r>
    </w:p>
    <w:p w14:paraId="2621EE42" w14:textId="7EBE152B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6CBF45BB" w14:textId="033CFC91" w:rsidR="005172B5" w:rsidRPr="005172B5" w:rsidRDefault="005172B5" w:rsidP="005172B5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5172B5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H</w:t>
      </w:r>
      <w:r w:rsidR="00DF4BA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ouse of</w:t>
      </w:r>
      <w:r w:rsidRPr="005172B5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A</w:t>
      </w:r>
      <w:r w:rsidR="00DF4BA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ssembly</w:t>
      </w:r>
      <w:r w:rsidRPr="005172B5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, 18 M</w:t>
      </w:r>
      <w:r w:rsidR="00DF4BA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arch</w:t>
      </w:r>
      <w:r w:rsidRPr="005172B5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1975, </w:t>
      </w:r>
      <w:r w:rsidR="00DF4BA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page</w:t>
      </w:r>
      <w:r w:rsidRPr="005172B5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2971</w:t>
      </w:r>
    </w:p>
    <w:p w14:paraId="000FC2C0" w14:textId="00E30F7F" w:rsidR="005172B5" w:rsidRDefault="005172B5" w:rsidP="005172B5">
      <w:pPr>
        <w:spacing w:after="0"/>
        <w:rPr>
          <w:rFonts w:ascii="Arial" w:hAnsi="Arial" w:cs="Arial"/>
          <w:sz w:val="24"/>
          <w:szCs w:val="24"/>
        </w:rPr>
      </w:pPr>
    </w:p>
    <w:p w14:paraId="0C2BFB77" w14:textId="25A03552" w:rsidR="005172B5" w:rsidRPr="00DF4BAF" w:rsidRDefault="005172B5" w:rsidP="005172B5">
      <w:pPr>
        <w:spacing w:after="0"/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DF4BAF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DF4BAF" w:rsidRPr="00DF4BAF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r</w:t>
      </w:r>
      <w:r w:rsidRPr="00DF4BAF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eading</w:t>
      </w:r>
    </w:p>
    <w:p w14:paraId="49A26849" w14:textId="77777777" w:rsidR="005172B5" w:rsidRDefault="005172B5" w:rsidP="005172B5">
      <w:pPr>
        <w:spacing w:after="0"/>
        <w:rPr>
          <w:rFonts w:ascii="Arial" w:hAnsi="Arial" w:cs="Arial"/>
          <w:sz w:val="24"/>
          <w:szCs w:val="24"/>
        </w:rPr>
      </w:pPr>
    </w:p>
    <w:p w14:paraId="116A24B0" w14:textId="0E2A5B0A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DF4BAF">
        <w:rPr>
          <w:rFonts w:ascii="Arial" w:hAnsi="Arial" w:cs="Arial"/>
          <w:b/>
          <w:bCs/>
          <w:sz w:val="24"/>
          <w:szCs w:val="24"/>
        </w:rPr>
        <w:t>The Hon. G. T. VIRGO (Minister of Local Government)</w:t>
      </w:r>
      <w:r w:rsidRPr="005172B5">
        <w:rPr>
          <w:rFonts w:ascii="Arial" w:hAnsi="Arial" w:cs="Arial"/>
          <w:sz w:val="24"/>
          <w:szCs w:val="24"/>
        </w:rPr>
        <w:t xml:space="preserve"> obtained leave and introduced a Bill for an Act to amend the Impounding Act, 1920-1974</w:t>
      </w:r>
      <w:proofErr w:type="gramStart"/>
      <w:r w:rsidRPr="005172B5">
        <w:rPr>
          <w:rFonts w:ascii="Arial" w:hAnsi="Arial" w:cs="Arial"/>
          <w:sz w:val="24"/>
          <w:szCs w:val="24"/>
        </w:rPr>
        <w:t>.</w:t>
      </w:r>
      <w:r w:rsidR="00DF4BAF">
        <w:rPr>
          <w:rFonts w:ascii="Arial" w:hAnsi="Arial" w:cs="Arial"/>
          <w:sz w:val="24"/>
          <w:szCs w:val="24"/>
        </w:rPr>
        <w:t xml:space="preserve"> </w:t>
      </w:r>
      <w:r w:rsidRPr="005172B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 xml:space="preserve">Read a first time. </w:t>
      </w:r>
    </w:p>
    <w:p w14:paraId="2DAE3548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7632525D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5172B5">
        <w:rPr>
          <w:rFonts w:ascii="Arial" w:hAnsi="Arial" w:cs="Arial"/>
          <w:sz w:val="24"/>
          <w:szCs w:val="24"/>
        </w:rPr>
        <w:t xml:space="preserve">The Hon. G. T. VIRGO: I move: </w:t>
      </w:r>
    </w:p>
    <w:p w14:paraId="14E0F7E7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5172B5">
        <w:rPr>
          <w:rFonts w:ascii="Arial" w:hAnsi="Arial" w:cs="Arial"/>
          <w:i/>
          <w:iCs/>
          <w:sz w:val="24"/>
          <w:szCs w:val="24"/>
        </w:rPr>
        <w:t>That this Bill be now read a second time</w:t>
      </w:r>
      <w:r w:rsidRPr="005172B5">
        <w:rPr>
          <w:rFonts w:ascii="Arial" w:hAnsi="Arial" w:cs="Arial"/>
          <w:sz w:val="24"/>
          <w:szCs w:val="24"/>
        </w:rPr>
        <w:t xml:space="preserve">. </w:t>
      </w:r>
    </w:p>
    <w:p w14:paraId="46606414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504C24D6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5172B5">
        <w:rPr>
          <w:rFonts w:ascii="Arial" w:hAnsi="Arial" w:cs="Arial"/>
          <w:sz w:val="24"/>
          <w:szCs w:val="24"/>
        </w:rPr>
        <w:t xml:space="preserve">I seek leave to have the second reading explanation inserted in </w:t>
      </w:r>
      <w:r w:rsidRPr="005172B5">
        <w:rPr>
          <w:rFonts w:ascii="Arial" w:hAnsi="Arial" w:cs="Arial"/>
          <w:i/>
          <w:iCs/>
          <w:sz w:val="24"/>
          <w:szCs w:val="24"/>
        </w:rPr>
        <w:t>Hansard</w:t>
      </w:r>
      <w:r w:rsidRPr="005172B5">
        <w:rPr>
          <w:rFonts w:ascii="Arial" w:hAnsi="Arial" w:cs="Arial"/>
          <w:sz w:val="24"/>
          <w:szCs w:val="24"/>
        </w:rPr>
        <w:t xml:space="preserve"> without my reading it. </w:t>
      </w:r>
    </w:p>
    <w:p w14:paraId="43344E7E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3D70D897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5172B5">
        <w:rPr>
          <w:rFonts w:ascii="Arial" w:hAnsi="Arial" w:cs="Arial"/>
          <w:sz w:val="24"/>
          <w:szCs w:val="24"/>
        </w:rPr>
        <w:t xml:space="preserve">Leave granted. </w:t>
      </w:r>
    </w:p>
    <w:p w14:paraId="6E557E0F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74636716" w14:textId="648BAB45" w:rsidR="00B209F6" w:rsidRPr="005172B5" w:rsidRDefault="00B209F6" w:rsidP="005172B5">
      <w:pPr>
        <w:spacing w:after="0"/>
        <w:jc w:val="center"/>
        <w:rPr>
          <w:rFonts w:ascii="Arial" w:hAnsi="Arial" w:cs="Arial"/>
          <w:smallCaps/>
          <w:sz w:val="24"/>
          <w:szCs w:val="24"/>
        </w:rPr>
      </w:pPr>
      <w:r w:rsidRPr="005172B5">
        <w:rPr>
          <w:rFonts w:ascii="Arial" w:hAnsi="Arial" w:cs="Arial"/>
          <w:smallCaps/>
          <w:sz w:val="24"/>
          <w:szCs w:val="24"/>
        </w:rPr>
        <w:t>Explanation of Bill</w:t>
      </w:r>
    </w:p>
    <w:p w14:paraId="74FADD66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18456073" w14:textId="6BA18DE8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5172B5">
        <w:rPr>
          <w:rFonts w:ascii="Arial" w:hAnsi="Arial" w:cs="Arial"/>
          <w:sz w:val="24"/>
          <w:szCs w:val="24"/>
        </w:rPr>
        <w:t>It increases the fees and penalties under the Impounding Act, 1920, as amended, and effects the necessary decimal conversions</w:t>
      </w:r>
      <w:proofErr w:type="gramStart"/>
      <w:r w:rsidRPr="005172B5">
        <w:rPr>
          <w:rFonts w:ascii="Arial" w:hAnsi="Arial" w:cs="Arial"/>
          <w:sz w:val="24"/>
          <w:szCs w:val="24"/>
        </w:rPr>
        <w:t xml:space="preserve">. </w:t>
      </w:r>
      <w:r w:rsidR="00DF4BA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>The fees under this Act have not been increased since 1962 and are now quite inadequate</w:t>
      </w:r>
      <w:proofErr w:type="gramStart"/>
      <w:r w:rsidRPr="005172B5">
        <w:rPr>
          <w:rFonts w:ascii="Arial" w:hAnsi="Arial" w:cs="Arial"/>
          <w:sz w:val="24"/>
          <w:szCs w:val="24"/>
        </w:rPr>
        <w:t>.</w:t>
      </w:r>
      <w:r w:rsidR="00DF4BAF">
        <w:rPr>
          <w:rFonts w:ascii="Arial" w:hAnsi="Arial" w:cs="Arial"/>
          <w:sz w:val="24"/>
          <w:szCs w:val="24"/>
        </w:rPr>
        <w:t xml:space="preserve"> </w:t>
      </w:r>
      <w:r w:rsidRPr="005172B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 xml:space="preserve">The increases are necessary to offset expenses incurred by local councils in impounding straying stock. In some </w:t>
      </w:r>
      <w:proofErr w:type="gramStart"/>
      <w:r w:rsidRPr="005172B5">
        <w:rPr>
          <w:rFonts w:ascii="Arial" w:hAnsi="Arial" w:cs="Arial"/>
          <w:sz w:val="24"/>
          <w:szCs w:val="24"/>
        </w:rPr>
        <w:t>instances</w:t>
      </w:r>
      <w:proofErr w:type="gramEnd"/>
      <w:r w:rsidRPr="005172B5">
        <w:rPr>
          <w:rFonts w:ascii="Arial" w:hAnsi="Arial" w:cs="Arial"/>
          <w:sz w:val="24"/>
          <w:szCs w:val="24"/>
        </w:rPr>
        <w:t xml:space="preserve"> at least, the impounding fees are insufficient to cover the actual costs incurred. </w:t>
      </w:r>
      <w:r w:rsidR="00DF4BAF">
        <w:rPr>
          <w:rFonts w:ascii="Arial" w:hAnsi="Arial" w:cs="Arial"/>
          <w:sz w:val="24"/>
          <w:szCs w:val="24"/>
        </w:rPr>
        <w:t xml:space="preserve"> </w:t>
      </w:r>
      <w:r w:rsidRPr="005172B5">
        <w:rPr>
          <w:rFonts w:ascii="Arial" w:hAnsi="Arial" w:cs="Arial"/>
          <w:sz w:val="24"/>
          <w:szCs w:val="24"/>
        </w:rPr>
        <w:t>Penalties for offences under this Act have also been increased to bring them more in line with contemporary penalties</w:t>
      </w:r>
      <w:proofErr w:type="gramStart"/>
      <w:r w:rsidRPr="005172B5">
        <w:rPr>
          <w:rFonts w:ascii="Arial" w:hAnsi="Arial" w:cs="Arial"/>
          <w:sz w:val="24"/>
          <w:szCs w:val="24"/>
        </w:rPr>
        <w:t xml:space="preserve">. </w:t>
      </w:r>
      <w:r w:rsidR="00DF4BA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 xml:space="preserve">In most cases the increase is that of 400 per cent. However, where present fees are of the order of 10c or less, the increase may be slightly higher to obtain a more realistic figure. </w:t>
      </w:r>
    </w:p>
    <w:p w14:paraId="4C24E9A8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7D86344F" w14:textId="44AED356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5172B5">
        <w:rPr>
          <w:rFonts w:ascii="Arial" w:hAnsi="Arial" w:cs="Arial"/>
          <w:sz w:val="24"/>
          <w:szCs w:val="24"/>
        </w:rPr>
        <w:t>Clause 1 is formal</w:t>
      </w:r>
      <w:proofErr w:type="gramStart"/>
      <w:r w:rsidRPr="005172B5">
        <w:rPr>
          <w:rFonts w:ascii="Arial" w:hAnsi="Arial" w:cs="Arial"/>
          <w:sz w:val="24"/>
          <w:szCs w:val="24"/>
        </w:rPr>
        <w:t xml:space="preserve">. </w:t>
      </w:r>
      <w:r w:rsidR="00DF4BA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>Clauses 2 to 19 amend the principal Act by increasing the penalties for the several offences</w:t>
      </w:r>
      <w:proofErr w:type="gramStart"/>
      <w:r w:rsidRPr="005172B5">
        <w:rPr>
          <w:rFonts w:ascii="Arial" w:hAnsi="Arial" w:cs="Arial"/>
          <w:sz w:val="24"/>
          <w:szCs w:val="24"/>
        </w:rPr>
        <w:t>.</w:t>
      </w:r>
      <w:r w:rsidR="00DF4BAF">
        <w:rPr>
          <w:rFonts w:ascii="Arial" w:hAnsi="Arial" w:cs="Arial"/>
          <w:sz w:val="24"/>
          <w:szCs w:val="24"/>
        </w:rPr>
        <w:t xml:space="preserve"> </w:t>
      </w:r>
      <w:r w:rsidRPr="005172B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>Clause 20 amends section 47 of the principal Act to increase the jurisdictional limit of justices under the Act to $160</w:t>
      </w:r>
      <w:proofErr w:type="gramStart"/>
      <w:r w:rsidRPr="005172B5">
        <w:rPr>
          <w:rFonts w:ascii="Arial" w:hAnsi="Arial" w:cs="Arial"/>
          <w:sz w:val="24"/>
          <w:szCs w:val="24"/>
        </w:rPr>
        <w:t xml:space="preserve">. </w:t>
      </w:r>
      <w:r w:rsidR="00DF4BA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>Clause 21 repeals and re-enacts the fourth schedule to the principal Act in the same form and increases the fees payable under it</w:t>
      </w:r>
      <w:proofErr w:type="gramStart"/>
      <w:r w:rsidRPr="005172B5">
        <w:rPr>
          <w:rFonts w:ascii="Arial" w:hAnsi="Arial" w:cs="Arial"/>
          <w:sz w:val="24"/>
          <w:szCs w:val="24"/>
        </w:rPr>
        <w:t>.</w:t>
      </w:r>
      <w:r w:rsidR="00DF4BAF">
        <w:rPr>
          <w:rFonts w:ascii="Arial" w:hAnsi="Arial" w:cs="Arial"/>
          <w:sz w:val="24"/>
          <w:szCs w:val="24"/>
        </w:rPr>
        <w:t xml:space="preserve"> </w:t>
      </w:r>
      <w:r w:rsidRPr="005172B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172B5">
        <w:rPr>
          <w:rFonts w:ascii="Arial" w:hAnsi="Arial" w:cs="Arial"/>
          <w:sz w:val="24"/>
          <w:szCs w:val="24"/>
        </w:rPr>
        <w:t xml:space="preserve">Clauses 22 and 23 similarly repeal and re-enact the fifth and sixth schedules. </w:t>
      </w:r>
    </w:p>
    <w:p w14:paraId="10F5AAAB" w14:textId="77777777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</w:p>
    <w:p w14:paraId="5D3EFF7E" w14:textId="2091B5BC" w:rsidR="00B209F6" w:rsidRPr="005172B5" w:rsidRDefault="00B209F6" w:rsidP="005172B5">
      <w:pPr>
        <w:spacing w:after="0"/>
        <w:rPr>
          <w:rFonts w:ascii="Arial" w:hAnsi="Arial" w:cs="Arial"/>
          <w:sz w:val="24"/>
          <w:szCs w:val="24"/>
        </w:rPr>
      </w:pPr>
      <w:r w:rsidRPr="005172B5">
        <w:rPr>
          <w:rFonts w:ascii="Arial" w:hAnsi="Arial" w:cs="Arial"/>
          <w:sz w:val="24"/>
          <w:szCs w:val="24"/>
        </w:rPr>
        <w:t>Mr. McANANEY secured the adjournment of the debate.</w:t>
      </w:r>
    </w:p>
    <w:sectPr w:rsidR="00B209F6" w:rsidRPr="005172B5" w:rsidSect="005172B5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72D1" w14:textId="77777777" w:rsidR="00DF4BAF" w:rsidRDefault="00DF4BAF" w:rsidP="00DF4BAF">
      <w:pPr>
        <w:spacing w:after="0" w:line="240" w:lineRule="auto"/>
      </w:pPr>
      <w:r>
        <w:separator/>
      </w:r>
    </w:p>
  </w:endnote>
  <w:endnote w:type="continuationSeparator" w:id="0">
    <w:p w14:paraId="2556BB7E" w14:textId="77777777" w:rsidR="00DF4BAF" w:rsidRDefault="00DF4BAF" w:rsidP="00DF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350A" w14:textId="77777777" w:rsidR="00DF4BAF" w:rsidRPr="00DF4BAF" w:rsidRDefault="00DF4BAF" w:rsidP="00DF4BAF">
    <w:pPr>
      <w:pStyle w:val="Footer"/>
      <w:jc w:val="right"/>
      <w:rPr>
        <w:color w:val="365F91" w:themeColor="accent1" w:themeShade="BF"/>
        <w:lang w:val="en-US"/>
      </w:rPr>
    </w:pPr>
    <w:r w:rsidRPr="00DF4BAF">
      <w:rPr>
        <w:rFonts w:hint="eastAsia"/>
        <w:color w:val="365F91" w:themeColor="accent1" w:themeShade="BF"/>
        <w:lang w:val="en-US"/>
      </w:rPr>
      <w:t>History of Agriculture South Australia</w:t>
    </w:r>
  </w:p>
  <w:p w14:paraId="65F9A60B" w14:textId="77777777" w:rsidR="00DF4BAF" w:rsidRDefault="00DF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1D0F" w14:textId="77777777" w:rsidR="00DF4BAF" w:rsidRDefault="00DF4BAF" w:rsidP="00DF4BAF">
      <w:pPr>
        <w:spacing w:after="0" w:line="240" w:lineRule="auto"/>
      </w:pPr>
      <w:r>
        <w:separator/>
      </w:r>
    </w:p>
  </w:footnote>
  <w:footnote w:type="continuationSeparator" w:id="0">
    <w:p w14:paraId="7BB23B0B" w14:textId="77777777" w:rsidR="00DF4BAF" w:rsidRDefault="00DF4BAF" w:rsidP="00DF4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F6"/>
    <w:rsid w:val="002413F6"/>
    <w:rsid w:val="005172B5"/>
    <w:rsid w:val="00B209F6"/>
    <w:rsid w:val="00D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6581"/>
  <w15:chartTrackingRefBased/>
  <w15:docId w15:val="{9915DC20-258A-4360-9954-B3883717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75pt">
    <w:name w:val="Header or footer + 7.5 pt"/>
    <w:aliases w:val="Bold,Not Italic,Header or footer + 6.5 pt,Small Caps,Heading #4 + Not Italic,Heading #4 + 6.5 pt,Header or footer + 8 pt,Header or footer + 6 pt,Body text (4) + Not Italic,Body text + Trebuchet MS,Not Bold"/>
    <w:basedOn w:val="DefaultParagraphFont"/>
    <w:rsid w:val="005172B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4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AF"/>
  </w:style>
  <w:style w:type="paragraph" w:styleId="Footer">
    <w:name w:val="footer"/>
    <w:basedOn w:val="Normal"/>
    <w:link w:val="FooterChar"/>
    <w:uiPriority w:val="99"/>
    <w:unhideWhenUsed/>
    <w:rsid w:val="00DF4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Plowman Plowman</cp:lastModifiedBy>
  <cp:revision>2</cp:revision>
  <dcterms:created xsi:type="dcterms:W3CDTF">2021-10-28T21:52:00Z</dcterms:created>
  <dcterms:modified xsi:type="dcterms:W3CDTF">2021-10-28T21:52:00Z</dcterms:modified>
</cp:coreProperties>
</file>