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F06" w:rsidRPr="00D66A67" w:rsidRDefault="00D66A67" w:rsidP="00D66A67">
      <w:pPr>
        <w:pStyle w:val="normal0"/>
        <w:spacing w:line="276" w:lineRule="auto"/>
        <w:ind w:right="380"/>
        <w:rPr>
          <w:rFonts w:ascii="Arial" w:eastAsia="Arial" w:hAnsi="Arial" w:cs="Arial"/>
          <w:b/>
          <w:color w:val="1C4587"/>
          <w:sz w:val="32"/>
          <w:szCs w:val="32"/>
        </w:rPr>
      </w:pPr>
      <w:r w:rsidRPr="00D66A67">
        <w:rPr>
          <w:rFonts w:ascii="Arial" w:eastAsia="Arial" w:hAnsi="Arial" w:cs="Arial"/>
          <w:b/>
          <w:color w:val="1C4587"/>
          <w:sz w:val="32"/>
          <w:szCs w:val="32"/>
        </w:rPr>
        <w:t>DAIRY PRODUCE ACT AMENDMENT BILL</w:t>
      </w:r>
      <w:r w:rsidR="00C851C9" w:rsidRPr="00D66A67">
        <w:rPr>
          <w:rFonts w:ascii="Arial" w:eastAsia="Arial" w:hAnsi="Arial" w:cs="Arial"/>
          <w:b/>
          <w:color w:val="1C4587"/>
          <w:sz w:val="32"/>
          <w:szCs w:val="32"/>
        </w:rPr>
        <w:t xml:space="preserve"> 1974</w:t>
      </w:r>
    </w:p>
    <w:p w:rsidR="00082F06" w:rsidRDefault="00082F06" w:rsidP="00D66A67">
      <w:pPr>
        <w:pStyle w:val="normal0"/>
        <w:pBdr>
          <w:top w:val="nil"/>
          <w:left w:val="nil"/>
          <w:bottom w:val="nil"/>
          <w:right w:val="nil"/>
          <w:between w:val="nil"/>
        </w:pBdr>
        <w:spacing w:line="276" w:lineRule="auto"/>
        <w:rPr>
          <w:rFonts w:ascii="Arial" w:eastAsia="Arial" w:hAnsi="Arial" w:cs="Arial"/>
          <w:color w:val="1C4587"/>
          <w:sz w:val="28"/>
          <w:szCs w:val="28"/>
        </w:rPr>
      </w:pPr>
    </w:p>
    <w:p w:rsidR="00082F06" w:rsidRDefault="00C851C9" w:rsidP="00D66A67">
      <w:pPr>
        <w:pStyle w:val="normal0"/>
        <w:pBdr>
          <w:top w:val="nil"/>
          <w:left w:val="nil"/>
          <w:bottom w:val="nil"/>
          <w:right w:val="nil"/>
          <w:between w:val="nil"/>
        </w:pBdr>
        <w:spacing w:line="276" w:lineRule="auto"/>
        <w:rPr>
          <w:rFonts w:ascii="Arial" w:eastAsia="Arial" w:hAnsi="Arial" w:cs="Arial"/>
          <w:b/>
          <w:color w:val="1C4587"/>
          <w:sz w:val="28"/>
          <w:szCs w:val="28"/>
        </w:rPr>
      </w:pPr>
      <w:r>
        <w:rPr>
          <w:rFonts w:ascii="Arial" w:eastAsia="Arial" w:hAnsi="Arial" w:cs="Arial"/>
          <w:b/>
          <w:color w:val="1C4587"/>
          <w:sz w:val="28"/>
          <w:szCs w:val="28"/>
        </w:rPr>
        <w:t xml:space="preserve">HOUSE OF ASSEMBLY, </w:t>
      </w:r>
      <w:r>
        <w:rPr>
          <w:rFonts w:ascii="Arial" w:eastAsia="Arial" w:hAnsi="Arial" w:cs="Arial"/>
          <w:b/>
          <w:color w:val="1C4587"/>
          <w:sz w:val="28"/>
          <w:szCs w:val="28"/>
        </w:rPr>
        <w:t>August 27 1974, page 686</w:t>
      </w:r>
    </w:p>
    <w:p w:rsidR="00082F06" w:rsidRDefault="00082F06" w:rsidP="00D66A67">
      <w:pPr>
        <w:pStyle w:val="normal0"/>
        <w:pBdr>
          <w:top w:val="nil"/>
          <w:left w:val="nil"/>
          <w:bottom w:val="nil"/>
          <w:right w:val="nil"/>
          <w:between w:val="nil"/>
        </w:pBdr>
        <w:spacing w:line="276" w:lineRule="auto"/>
        <w:ind w:right="380"/>
        <w:rPr>
          <w:rFonts w:ascii="Arial" w:eastAsia="Arial" w:hAnsi="Arial" w:cs="Arial"/>
          <w:color w:val="1C4587"/>
          <w:sz w:val="28"/>
          <w:szCs w:val="28"/>
        </w:rPr>
      </w:pPr>
    </w:p>
    <w:p w:rsidR="00082F06" w:rsidRDefault="00C851C9" w:rsidP="00D66A67">
      <w:pPr>
        <w:pStyle w:val="normal0"/>
        <w:pBdr>
          <w:top w:val="nil"/>
          <w:left w:val="nil"/>
          <w:bottom w:val="nil"/>
          <w:right w:val="nil"/>
          <w:between w:val="nil"/>
        </w:pBdr>
        <w:spacing w:line="276" w:lineRule="auto"/>
        <w:ind w:right="380"/>
        <w:rPr>
          <w:rFonts w:ascii="Arial" w:eastAsia="Arial" w:hAnsi="Arial" w:cs="Arial"/>
          <w:color w:val="1C4587"/>
          <w:sz w:val="28"/>
          <w:szCs w:val="28"/>
        </w:rPr>
      </w:pPr>
      <w:r>
        <w:rPr>
          <w:rFonts w:ascii="Arial" w:eastAsia="Arial" w:hAnsi="Arial" w:cs="Arial"/>
          <w:color w:val="1C4587"/>
          <w:sz w:val="28"/>
          <w:szCs w:val="28"/>
        </w:rPr>
        <w:t>Second reading</w:t>
      </w:r>
    </w:p>
    <w:p w:rsidR="00082F06" w:rsidRDefault="00082F06" w:rsidP="00D66A67">
      <w:pPr>
        <w:pStyle w:val="normal0"/>
        <w:pBdr>
          <w:top w:val="nil"/>
          <w:left w:val="nil"/>
          <w:bottom w:val="nil"/>
          <w:right w:val="nil"/>
          <w:between w:val="nil"/>
        </w:pBdr>
        <w:spacing w:line="276" w:lineRule="auto"/>
        <w:ind w:right="380"/>
        <w:rPr>
          <w:rFonts w:ascii="Arial" w:eastAsia="Arial" w:hAnsi="Arial" w:cs="Arial"/>
          <w:sz w:val="28"/>
          <w:szCs w:val="28"/>
        </w:rPr>
      </w:pPr>
    </w:p>
    <w:p w:rsidR="00082F06" w:rsidRDefault="00C851C9" w:rsidP="00D66A67">
      <w:pPr>
        <w:pStyle w:val="normal0"/>
        <w:pBdr>
          <w:top w:val="nil"/>
          <w:left w:val="nil"/>
          <w:bottom w:val="nil"/>
          <w:right w:val="nil"/>
          <w:between w:val="nil"/>
        </w:pBdr>
        <w:spacing w:line="276" w:lineRule="auto"/>
        <w:ind w:right="80"/>
        <w:jc w:val="both"/>
        <w:rPr>
          <w:rFonts w:ascii="Arial" w:eastAsia="Arial" w:hAnsi="Arial" w:cs="Arial"/>
          <w:color w:val="000000"/>
          <w:sz w:val="28"/>
          <w:szCs w:val="28"/>
        </w:rPr>
      </w:pPr>
      <w:r>
        <w:rPr>
          <w:rFonts w:ascii="Arial" w:eastAsia="Arial" w:hAnsi="Arial" w:cs="Arial"/>
          <w:color w:val="000000"/>
          <w:sz w:val="28"/>
          <w:szCs w:val="28"/>
        </w:rPr>
        <w:t>The Hon. J. D. CORCORAN (Minister of Works): I move:</w:t>
      </w:r>
    </w:p>
    <w:p w:rsidR="00082F06" w:rsidRDefault="00C851C9" w:rsidP="00D66A67">
      <w:pPr>
        <w:pStyle w:val="normal0"/>
        <w:pBdr>
          <w:top w:val="nil"/>
          <w:left w:val="nil"/>
          <w:bottom w:val="nil"/>
          <w:right w:val="nil"/>
          <w:between w:val="nil"/>
        </w:pBdr>
        <w:spacing w:line="276" w:lineRule="auto"/>
        <w:jc w:val="both"/>
        <w:rPr>
          <w:rFonts w:ascii="Arial" w:eastAsia="Arial" w:hAnsi="Arial" w:cs="Arial"/>
          <w:i/>
          <w:color w:val="000000"/>
          <w:sz w:val="28"/>
          <w:szCs w:val="28"/>
        </w:rPr>
      </w:pPr>
      <w:r>
        <w:rPr>
          <w:rFonts w:ascii="Arial" w:eastAsia="Arial" w:hAnsi="Arial" w:cs="Arial"/>
          <w:i/>
          <w:color w:val="000000"/>
          <w:sz w:val="28"/>
          <w:szCs w:val="28"/>
        </w:rPr>
        <w:t>That this Bill be now read a second time.</w:t>
      </w:r>
    </w:p>
    <w:p w:rsidR="00082F06" w:rsidRDefault="00082F06" w:rsidP="00D66A67">
      <w:pPr>
        <w:pStyle w:val="normal0"/>
        <w:pBdr>
          <w:top w:val="nil"/>
          <w:left w:val="nil"/>
          <w:bottom w:val="nil"/>
          <w:right w:val="nil"/>
          <w:between w:val="nil"/>
        </w:pBdr>
        <w:spacing w:line="276" w:lineRule="auto"/>
        <w:jc w:val="both"/>
        <w:rPr>
          <w:rFonts w:ascii="Arial" w:eastAsia="Arial" w:hAnsi="Arial" w:cs="Arial"/>
          <w:i/>
          <w:sz w:val="28"/>
          <w:szCs w:val="28"/>
        </w:rPr>
      </w:pPr>
    </w:p>
    <w:p w:rsidR="00082F06" w:rsidRDefault="00C851C9" w:rsidP="00D66A67">
      <w:pPr>
        <w:pStyle w:val="normal0"/>
        <w:pBdr>
          <w:top w:val="nil"/>
          <w:left w:val="nil"/>
          <w:bottom w:val="nil"/>
          <w:right w:val="nil"/>
          <w:between w:val="nil"/>
        </w:pBdr>
        <w:spacing w:after="102" w:line="276" w:lineRule="auto"/>
        <w:ind w:right="80"/>
        <w:jc w:val="both"/>
        <w:rPr>
          <w:rFonts w:ascii="Arial" w:eastAsia="Arial" w:hAnsi="Arial" w:cs="Arial"/>
          <w:color w:val="000000"/>
          <w:sz w:val="28"/>
          <w:szCs w:val="28"/>
        </w:rPr>
      </w:pPr>
      <w:r>
        <w:rPr>
          <w:rFonts w:ascii="Arial" w:eastAsia="Arial" w:hAnsi="Arial" w:cs="Arial"/>
          <w:color w:val="000000"/>
          <w:sz w:val="28"/>
          <w:szCs w:val="28"/>
        </w:rPr>
        <w:t xml:space="preserve">I seek leave to have the second reading explanation incorporated in </w:t>
      </w:r>
      <w:r>
        <w:rPr>
          <w:rFonts w:ascii="Arial" w:eastAsia="Arial" w:hAnsi="Arial" w:cs="Arial"/>
          <w:i/>
          <w:color w:val="000000"/>
          <w:sz w:val="28"/>
          <w:szCs w:val="28"/>
        </w:rPr>
        <w:t>Hansard</w:t>
      </w:r>
      <w:r>
        <w:rPr>
          <w:rFonts w:ascii="Arial" w:eastAsia="Arial" w:hAnsi="Arial" w:cs="Arial"/>
          <w:color w:val="000000"/>
          <w:sz w:val="28"/>
          <w:szCs w:val="28"/>
        </w:rPr>
        <w:t xml:space="preserve"> without my reading it.</w:t>
      </w:r>
    </w:p>
    <w:p w:rsidR="00082F06" w:rsidRDefault="00C851C9" w:rsidP="00D66A67">
      <w:pPr>
        <w:pStyle w:val="normal0"/>
        <w:pBdr>
          <w:top w:val="nil"/>
          <w:left w:val="nil"/>
          <w:bottom w:val="nil"/>
          <w:right w:val="nil"/>
          <w:between w:val="nil"/>
        </w:pBdr>
        <w:spacing w:line="276" w:lineRule="auto"/>
        <w:jc w:val="both"/>
        <w:rPr>
          <w:rFonts w:ascii="Arial" w:eastAsia="Arial" w:hAnsi="Arial" w:cs="Arial"/>
          <w:color w:val="000000"/>
          <w:sz w:val="28"/>
          <w:szCs w:val="28"/>
        </w:rPr>
      </w:pPr>
      <w:r>
        <w:rPr>
          <w:rFonts w:ascii="Arial" w:eastAsia="Arial" w:hAnsi="Arial" w:cs="Arial"/>
          <w:color w:val="000000"/>
          <w:sz w:val="28"/>
          <w:szCs w:val="28"/>
        </w:rPr>
        <w:t>Leave granted.</w:t>
      </w:r>
    </w:p>
    <w:p w:rsidR="00082F06" w:rsidRDefault="00C851C9" w:rsidP="00D66A67">
      <w:pPr>
        <w:pStyle w:val="normal0"/>
        <w:pBdr>
          <w:top w:val="nil"/>
          <w:left w:val="nil"/>
          <w:bottom w:val="nil"/>
          <w:right w:val="nil"/>
          <w:between w:val="nil"/>
        </w:pBdr>
        <w:spacing w:line="276" w:lineRule="auto"/>
        <w:jc w:val="center"/>
        <w:rPr>
          <w:rFonts w:ascii="Arial" w:eastAsia="Arial" w:hAnsi="Arial" w:cs="Arial"/>
          <w:color w:val="000000"/>
          <w:sz w:val="28"/>
          <w:szCs w:val="28"/>
        </w:rPr>
      </w:pPr>
      <w:r>
        <w:rPr>
          <w:rFonts w:ascii="Arial" w:eastAsia="Arial" w:hAnsi="Arial" w:cs="Arial"/>
          <w:smallCaps/>
          <w:color w:val="000000"/>
          <w:sz w:val="28"/>
          <w:szCs w:val="28"/>
        </w:rPr>
        <w:t>Explanation, of Bill</w:t>
      </w:r>
    </w:p>
    <w:p w:rsidR="00082F06" w:rsidRDefault="00C851C9" w:rsidP="00D66A67">
      <w:pPr>
        <w:pStyle w:val="normal0"/>
        <w:pBdr>
          <w:top w:val="nil"/>
          <w:left w:val="nil"/>
          <w:bottom w:val="nil"/>
          <w:right w:val="nil"/>
          <w:between w:val="nil"/>
        </w:pBdr>
        <w:spacing w:after="57" w:line="276" w:lineRule="auto"/>
        <w:ind w:right="80"/>
        <w:jc w:val="both"/>
        <w:rPr>
          <w:rFonts w:ascii="Arial" w:eastAsia="Arial" w:hAnsi="Arial" w:cs="Arial"/>
          <w:color w:val="000000"/>
          <w:sz w:val="28"/>
          <w:szCs w:val="28"/>
        </w:rPr>
      </w:pPr>
      <w:r>
        <w:rPr>
          <w:rFonts w:ascii="Arial" w:eastAsia="Arial" w:hAnsi="Arial" w:cs="Arial"/>
          <w:color w:val="000000"/>
          <w:sz w:val="28"/>
          <w:szCs w:val="28"/>
        </w:rPr>
        <w:t xml:space="preserve">It is the second of three measures intended to facilitate the marketing of dairy blend. The principal Act, the Dairy Produce Act, is the vehicle by which the Dairy Produce Board of South Australia is established. One of the main functions of this board is </w:t>
      </w:r>
      <w:r>
        <w:rPr>
          <w:rFonts w:ascii="Arial" w:eastAsia="Arial" w:hAnsi="Arial" w:cs="Arial"/>
          <w:color w:val="000000"/>
          <w:sz w:val="28"/>
          <w:szCs w:val="28"/>
        </w:rPr>
        <w:t xml:space="preserve">to recommend and promulgate quotas for intrastate sales of butter and cheese within the framework of the Commonwealth Dairy Produce Equalisation Scheme. I am sure that all members who have an interest in this field will be aware of the application of this </w:t>
      </w:r>
      <w:r>
        <w:rPr>
          <w:rFonts w:ascii="Arial" w:eastAsia="Arial" w:hAnsi="Arial" w:cs="Arial"/>
          <w:color w:val="000000"/>
          <w:sz w:val="28"/>
          <w:szCs w:val="28"/>
        </w:rPr>
        <w:t>Act to butter and cheese. The effect of the amendments proposed by this Bill is to extend the application of the Dairy Produce Act to dairy blend.</w:t>
      </w:r>
    </w:p>
    <w:p w:rsidR="00082F06" w:rsidRDefault="00082F06" w:rsidP="00D66A67">
      <w:pPr>
        <w:pStyle w:val="normal0"/>
        <w:pBdr>
          <w:top w:val="nil"/>
          <w:left w:val="nil"/>
          <w:bottom w:val="nil"/>
          <w:right w:val="nil"/>
          <w:between w:val="nil"/>
        </w:pBdr>
        <w:spacing w:after="57" w:line="276" w:lineRule="auto"/>
        <w:ind w:right="80"/>
        <w:jc w:val="both"/>
        <w:rPr>
          <w:rFonts w:ascii="Arial" w:eastAsia="Arial" w:hAnsi="Arial" w:cs="Arial"/>
          <w:sz w:val="28"/>
          <w:szCs w:val="28"/>
        </w:rPr>
      </w:pPr>
    </w:p>
    <w:p w:rsidR="00082F06" w:rsidRDefault="00C851C9" w:rsidP="00D66A67">
      <w:pPr>
        <w:pStyle w:val="normal0"/>
        <w:pBdr>
          <w:top w:val="nil"/>
          <w:left w:val="nil"/>
          <w:bottom w:val="nil"/>
          <w:right w:val="nil"/>
          <w:between w:val="nil"/>
        </w:pBdr>
        <w:spacing w:after="63" w:line="276" w:lineRule="auto"/>
        <w:ind w:right="80"/>
        <w:jc w:val="both"/>
        <w:rPr>
          <w:rFonts w:ascii="Arial" w:eastAsia="Arial" w:hAnsi="Arial" w:cs="Arial"/>
          <w:color w:val="000000"/>
          <w:sz w:val="28"/>
          <w:szCs w:val="28"/>
        </w:rPr>
      </w:pPr>
      <w:r>
        <w:rPr>
          <w:rFonts w:ascii="Arial" w:eastAsia="Arial" w:hAnsi="Arial" w:cs="Arial"/>
          <w:color w:val="000000"/>
          <w:sz w:val="28"/>
          <w:szCs w:val="28"/>
        </w:rPr>
        <w:t>Clauses 1 and 2 are formal. Clause 3 amends section 2 of the principal Act by inserting a definition of “dai</w:t>
      </w:r>
      <w:r>
        <w:rPr>
          <w:rFonts w:ascii="Arial" w:eastAsia="Arial" w:hAnsi="Arial" w:cs="Arial"/>
          <w:color w:val="000000"/>
          <w:sz w:val="28"/>
          <w:szCs w:val="28"/>
        </w:rPr>
        <w:t xml:space="preserve">ry blend” in terms of the definition inserted in the Dairy Industry Act, 1928, as amended. This clause also extends the definition of “dairy produce” to encompass the product dairy blend. Clause 4 amends section 3 of the principal Act by providing </w:t>
      </w:r>
      <w:r>
        <w:rPr>
          <w:rFonts w:ascii="Arial" w:eastAsia="Arial" w:hAnsi="Arial" w:cs="Arial"/>
          <w:i/>
          <w:color w:val="000000"/>
          <w:sz w:val="28"/>
          <w:szCs w:val="28"/>
        </w:rPr>
        <w:t>that in</w:t>
      </w:r>
      <w:r>
        <w:rPr>
          <w:rFonts w:ascii="Arial" w:eastAsia="Arial" w:hAnsi="Arial" w:cs="Arial"/>
          <w:color w:val="000000"/>
          <w:sz w:val="28"/>
          <w:szCs w:val="28"/>
        </w:rPr>
        <w:t xml:space="preserve"> </w:t>
      </w:r>
      <w:r>
        <w:rPr>
          <w:rFonts w:ascii="Arial" w:eastAsia="Arial" w:hAnsi="Arial" w:cs="Arial"/>
          <w:color w:val="000000"/>
          <w:sz w:val="28"/>
          <w:szCs w:val="28"/>
        </w:rPr>
        <w:t>the constitution of the Dairy Produce Board manufacturers of dairy blend will be recognized.</w:t>
      </w:r>
    </w:p>
    <w:p w:rsidR="00082F06" w:rsidRDefault="00C851C9" w:rsidP="00D66A67">
      <w:pPr>
        <w:pStyle w:val="normal0"/>
        <w:pBdr>
          <w:top w:val="nil"/>
          <w:left w:val="nil"/>
          <w:bottom w:val="nil"/>
          <w:right w:val="nil"/>
          <w:between w:val="nil"/>
        </w:pBdr>
        <w:spacing w:after="37" w:line="276" w:lineRule="auto"/>
        <w:ind w:right="80"/>
        <w:jc w:val="both"/>
        <w:rPr>
          <w:rFonts w:ascii="Arial" w:eastAsia="Arial" w:hAnsi="Arial" w:cs="Arial"/>
          <w:color w:val="000000"/>
          <w:sz w:val="28"/>
          <w:szCs w:val="28"/>
        </w:rPr>
      </w:pPr>
      <w:r>
        <w:rPr>
          <w:rFonts w:ascii="Arial" w:eastAsia="Arial" w:hAnsi="Arial" w:cs="Arial"/>
          <w:color w:val="000000"/>
          <w:sz w:val="28"/>
          <w:szCs w:val="28"/>
        </w:rPr>
        <w:t>Clause 5 amends section 15a of the principal Act by extending the powers of the board to reporting on the wholesale price of dairy blend in the same way as it repo</w:t>
      </w:r>
      <w:r>
        <w:rPr>
          <w:rFonts w:ascii="Arial" w:eastAsia="Arial" w:hAnsi="Arial" w:cs="Arial"/>
          <w:color w:val="000000"/>
          <w:sz w:val="28"/>
          <w:szCs w:val="28"/>
        </w:rPr>
        <w:t>rts on the wholesale price of butter, and the powers of the Governor under this clause are consequently amended. Clause 6 amends section 16 of the principal Act and gives the board power to determine quotas for dairy blend in the same manner as it determin</w:t>
      </w:r>
      <w:r>
        <w:rPr>
          <w:rFonts w:ascii="Arial" w:eastAsia="Arial" w:hAnsi="Arial" w:cs="Arial"/>
          <w:color w:val="000000"/>
          <w:sz w:val="28"/>
          <w:szCs w:val="28"/>
        </w:rPr>
        <w:t>es quotas for butter and cheese. Clause 7 amends section 17 of the principal Act and is an amendment to the penalty sections consequential on the increased powers of the board. In addition, paragraphs (</w:t>
      </w:r>
      <w:r>
        <w:rPr>
          <w:rFonts w:ascii="Arial" w:eastAsia="Arial" w:hAnsi="Arial" w:cs="Arial"/>
          <w:i/>
          <w:color w:val="000000"/>
          <w:sz w:val="28"/>
          <w:szCs w:val="28"/>
        </w:rPr>
        <w:t>b</w:t>
      </w:r>
      <w:r>
        <w:rPr>
          <w:rFonts w:ascii="Arial" w:eastAsia="Arial" w:hAnsi="Arial" w:cs="Arial"/>
          <w:color w:val="000000"/>
          <w:sz w:val="28"/>
          <w:szCs w:val="28"/>
        </w:rPr>
        <w:t>), (c) and (</w:t>
      </w:r>
      <w:r>
        <w:rPr>
          <w:rFonts w:ascii="Arial" w:eastAsia="Arial" w:hAnsi="Arial" w:cs="Arial"/>
          <w:i/>
          <w:color w:val="000000"/>
          <w:sz w:val="28"/>
          <w:szCs w:val="28"/>
        </w:rPr>
        <w:t>e</w:t>
      </w:r>
      <w:r>
        <w:rPr>
          <w:rFonts w:ascii="Arial" w:eastAsia="Arial" w:hAnsi="Arial" w:cs="Arial"/>
          <w:color w:val="000000"/>
          <w:sz w:val="28"/>
          <w:szCs w:val="28"/>
        </w:rPr>
        <w:t>) of this clause effect metric amendment</w:t>
      </w:r>
      <w:r>
        <w:rPr>
          <w:rFonts w:ascii="Arial" w:eastAsia="Arial" w:hAnsi="Arial" w:cs="Arial"/>
          <w:color w:val="000000"/>
          <w:sz w:val="28"/>
          <w:szCs w:val="28"/>
        </w:rPr>
        <w:t>s. Clause 8 is a consequential amendment.</w:t>
      </w:r>
    </w:p>
    <w:p w:rsidR="00082F06" w:rsidRDefault="00082F06" w:rsidP="00D66A67">
      <w:pPr>
        <w:pStyle w:val="normal0"/>
        <w:pBdr>
          <w:top w:val="nil"/>
          <w:left w:val="nil"/>
          <w:bottom w:val="nil"/>
          <w:right w:val="nil"/>
          <w:between w:val="nil"/>
        </w:pBdr>
        <w:spacing w:after="37" w:line="276" w:lineRule="auto"/>
        <w:ind w:right="80"/>
        <w:jc w:val="both"/>
        <w:rPr>
          <w:rFonts w:ascii="Arial" w:eastAsia="Arial" w:hAnsi="Arial" w:cs="Arial"/>
          <w:sz w:val="28"/>
          <w:szCs w:val="28"/>
        </w:rPr>
      </w:pPr>
    </w:p>
    <w:p w:rsidR="00082F06" w:rsidRDefault="00C851C9" w:rsidP="00D66A67">
      <w:pPr>
        <w:pStyle w:val="normal0"/>
        <w:pBdr>
          <w:top w:val="nil"/>
          <w:left w:val="nil"/>
          <w:bottom w:val="nil"/>
          <w:right w:val="nil"/>
          <w:between w:val="nil"/>
        </w:pBdr>
        <w:spacing w:after="116" w:line="276" w:lineRule="auto"/>
        <w:ind w:right="80"/>
        <w:jc w:val="both"/>
        <w:rPr>
          <w:rFonts w:ascii="Arial" w:eastAsia="Arial" w:hAnsi="Arial" w:cs="Arial"/>
          <w:color w:val="000000"/>
          <w:sz w:val="28"/>
          <w:szCs w:val="28"/>
        </w:rPr>
      </w:pPr>
      <w:r>
        <w:rPr>
          <w:rFonts w:ascii="Arial" w:eastAsia="Arial" w:hAnsi="Arial" w:cs="Arial"/>
          <w:color w:val="000000"/>
          <w:sz w:val="28"/>
          <w:szCs w:val="28"/>
        </w:rPr>
        <w:t>Mr. DEAN BROWN secured the adjournment of the debate.</w:t>
      </w:r>
    </w:p>
    <w:p w:rsidR="00082F06" w:rsidRDefault="00082F06" w:rsidP="00D66A67">
      <w:pPr>
        <w:pStyle w:val="normal0"/>
        <w:spacing w:line="276" w:lineRule="auto"/>
        <w:rPr>
          <w:sz w:val="2"/>
          <w:szCs w:val="2"/>
        </w:rPr>
      </w:pPr>
    </w:p>
    <w:sectPr w:rsidR="00082F06" w:rsidSect="00D66A67">
      <w:footerReference w:type="default" r:id="rId6"/>
      <w:pgSz w:w="16838" w:h="23811"/>
      <w:pgMar w:top="1440" w:right="1440" w:bottom="1440" w:left="1440" w:header="0" w:footer="3"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1C9" w:rsidRDefault="00C851C9" w:rsidP="00D66A67">
      <w:r>
        <w:separator/>
      </w:r>
    </w:p>
  </w:endnote>
  <w:endnote w:type="continuationSeparator" w:id="1">
    <w:p w:rsidR="00C851C9" w:rsidRDefault="00C851C9" w:rsidP="00D66A6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A67" w:rsidRPr="00D66A67" w:rsidRDefault="00D66A67" w:rsidP="00D66A67">
    <w:pPr>
      <w:pStyle w:val="Footer"/>
      <w:jc w:val="right"/>
      <w:rPr>
        <w:rFonts w:ascii="Arial" w:hAnsi="Arial" w:cs="Arial"/>
        <w:color w:val="548DD4" w:themeColor="text2" w:themeTint="99"/>
      </w:rPr>
    </w:pPr>
    <w:r w:rsidRPr="00D66A67">
      <w:rPr>
        <w:rFonts w:ascii="Arial" w:hAnsi="Arial" w:cs="Arial"/>
        <w:noProof/>
        <w:color w:val="548DD4" w:themeColor="text2" w:themeTint="99"/>
      </w:rPr>
      <w:t>History of Agriculture South Australia</w:t>
    </w:r>
  </w:p>
  <w:p w:rsidR="00D66A67" w:rsidRDefault="00D66A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1C9" w:rsidRDefault="00C851C9" w:rsidP="00D66A67">
      <w:r>
        <w:separator/>
      </w:r>
    </w:p>
  </w:footnote>
  <w:footnote w:type="continuationSeparator" w:id="1">
    <w:p w:rsidR="00C851C9" w:rsidRDefault="00C851C9" w:rsidP="00D66A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082F06"/>
    <w:rsid w:val="00082F06"/>
    <w:rsid w:val="00C851C9"/>
    <w:rsid w:val="00D66A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082F06"/>
    <w:pPr>
      <w:keepNext/>
      <w:keepLines/>
      <w:spacing w:before="480" w:after="120"/>
      <w:outlineLvl w:val="0"/>
    </w:pPr>
    <w:rPr>
      <w:b/>
      <w:sz w:val="48"/>
      <w:szCs w:val="48"/>
    </w:rPr>
  </w:style>
  <w:style w:type="paragraph" w:styleId="Heading2">
    <w:name w:val="heading 2"/>
    <w:basedOn w:val="normal0"/>
    <w:next w:val="normal0"/>
    <w:rsid w:val="00082F06"/>
    <w:pPr>
      <w:keepNext/>
      <w:keepLines/>
      <w:spacing w:before="360" w:after="80"/>
      <w:outlineLvl w:val="1"/>
    </w:pPr>
    <w:rPr>
      <w:b/>
      <w:sz w:val="36"/>
      <w:szCs w:val="36"/>
    </w:rPr>
  </w:style>
  <w:style w:type="paragraph" w:styleId="Heading3">
    <w:name w:val="heading 3"/>
    <w:basedOn w:val="normal0"/>
    <w:next w:val="normal0"/>
    <w:rsid w:val="00082F06"/>
    <w:pPr>
      <w:keepNext/>
      <w:keepLines/>
      <w:spacing w:before="280" w:after="80"/>
      <w:outlineLvl w:val="2"/>
    </w:pPr>
    <w:rPr>
      <w:b/>
      <w:sz w:val="28"/>
      <w:szCs w:val="28"/>
    </w:rPr>
  </w:style>
  <w:style w:type="paragraph" w:styleId="Heading4">
    <w:name w:val="heading 4"/>
    <w:basedOn w:val="normal0"/>
    <w:next w:val="normal0"/>
    <w:rsid w:val="00082F06"/>
    <w:pPr>
      <w:keepNext/>
      <w:keepLines/>
      <w:spacing w:before="240" w:after="40"/>
      <w:outlineLvl w:val="3"/>
    </w:pPr>
    <w:rPr>
      <w:b/>
    </w:rPr>
  </w:style>
  <w:style w:type="paragraph" w:styleId="Heading5">
    <w:name w:val="heading 5"/>
    <w:basedOn w:val="normal0"/>
    <w:next w:val="normal0"/>
    <w:rsid w:val="00082F06"/>
    <w:pPr>
      <w:keepNext/>
      <w:keepLines/>
      <w:spacing w:before="220" w:after="40"/>
      <w:outlineLvl w:val="4"/>
    </w:pPr>
    <w:rPr>
      <w:b/>
      <w:sz w:val="22"/>
      <w:szCs w:val="22"/>
    </w:rPr>
  </w:style>
  <w:style w:type="paragraph" w:styleId="Heading6">
    <w:name w:val="heading 6"/>
    <w:basedOn w:val="normal0"/>
    <w:next w:val="normal0"/>
    <w:rsid w:val="00082F0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82F06"/>
  </w:style>
  <w:style w:type="paragraph" w:styleId="Title">
    <w:name w:val="Title"/>
    <w:basedOn w:val="normal0"/>
    <w:next w:val="normal0"/>
    <w:rsid w:val="00082F06"/>
    <w:pPr>
      <w:keepNext/>
      <w:keepLines/>
      <w:spacing w:before="480" w:after="120"/>
    </w:pPr>
    <w:rPr>
      <w:b/>
      <w:sz w:val="72"/>
      <w:szCs w:val="72"/>
    </w:rPr>
  </w:style>
  <w:style w:type="paragraph" w:styleId="Subtitle">
    <w:name w:val="Subtitle"/>
    <w:basedOn w:val="normal0"/>
    <w:next w:val="normal0"/>
    <w:rsid w:val="00082F06"/>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D66A67"/>
    <w:pPr>
      <w:tabs>
        <w:tab w:val="center" w:pos="4680"/>
        <w:tab w:val="right" w:pos="9360"/>
      </w:tabs>
    </w:pPr>
  </w:style>
  <w:style w:type="character" w:customStyle="1" w:styleId="HeaderChar">
    <w:name w:val="Header Char"/>
    <w:basedOn w:val="DefaultParagraphFont"/>
    <w:link w:val="Header"/>
    <w:uiPriority w:val="99"/>
    <w:semiHidden/>
    <w:rsid w:val="00D66A67"/>
  </w:style>
  <w:style w:type="paragraph" w:styleId="Footer">
    <w:name w:val="footer"/>
    <w:basedOn w:val="Normal"/>
    <w:link w:val="FooterChar"/>
    <w:uiPriority w:val="99"/>
    <w:semiHidden/>
    <w:unhideWhenUsed/>
    <w:rsid w:val="00D66A67"/>
    <w:pPr>
      <w:tabs>
        <w:tab w:val="center" w:pos="4680"/>
        <w:tab w:val="right" w:pos="9360"/>
      </w:tabs>
    </w:pPr>
  </w:style>
  <w:style w:type="character" w:customStyle="1" w:styleId="FooterChar">
    <w:name w:val="Footer Char"/>
    <w:basedOn w:val="DefaultParagraphFont"/>
    <w:link w:val="Footer"/>
    <w:uiPriority w:val="99"/>
    <w:semiHidden/>
    <w:rsid w:val="00D66A6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2</cp:revision>
  <dcterms:created xsi:type="dcterms:W3CDTF">2019-12-28T02:50:00Z</dcterms:created>
  <dcterms:modified xsi:type="dcterms:W3CDTF">2019-12-28T02:52:00Z</dcterms:modified>
</cp:coreProperties>
</file>