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7172F" w14:textId="254A366E" w:rsidR="007E7AFB" w:rsidRDefault="00846A70">
      <w:pPr>
        <w:jc w:val="both"/>
        <w:rPr>
          <w:rFonts w:ascii="Osaka" w:eastAsia="Osaka" w:cs="Osaka"/>
          <w:color w:val="000000"/>
          <w:sz w:val="2"/>
          <w:szCs w:val="2"/>
          <w:u w:color="000000"/>
        </w:rPr>
      </w:pPr>
      <w:r>
        <w:rPr>
          <w:noProof/>
          <w:lang w:val="en-AU" w:eastAsia="en-AU"/>
        </w:rPr>
        <mc:AlternateContent>
          <mc:Choice Requires="wps">
            <w:drawing>
              <wp:anchor distT="0" distB="0" distL="114300" distR="114300" simplePos="0" relativeHeight="251661312" behindDoc="1" locked="1" layoutInCell="1" allowOverlap="1" wp14:anchorId="321EABF1" wp14:editId="05FCA92D">
                <wp:simplePos x="0" y="0"/>
                <wp:positionH relativeFrom="page">
                  <wp:posOffset>180340</wp:posOffset>
                </wp:positionH>
                <wp:positionV relativeFrom="page">
                  <wp:posOffset>180340</wp:posOffset>
                </wp:positionV>
                <wp:extent cx="7200000" cy="4788000"/>
                <wp:effectExtent l="0" t="0" r="0" b="12700"/>
                <wp:wrapNone/>
                <wp:docPr id="1" name="Rectangle 1"/>
                <wp:cNvGraphicFramePr/>
                <a:graphic xmlns:a="http://schemas.openxmlformats.org/drawingml/2006/main">
                  <a:graphicData uri="http://schemas.microsoft.com/office/word/2010/wordprocessingShape">
                    <wps:wsp>
                      <wps:cNvSpPr/>
                      <wps:spPr>
                        <a:xfrm>
                          <a:off x="0" y="0"/>
                          <a:ext cx="7200000" cy="4788000"/>
                        </a:xfrm>
                        <a:prstGeom prst="rect">
                          <a:avLst/>
                        </a:prstGeom>
                        <a:solidFill>
                          <a:srgbClr val="00427A"/>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E2965" id="Rectangle 1" o:spid="_x0000_s1026" style="position:absolute;margin-left:14.2pt;margin-top:14.2pt;width:566.95pt;height:3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" fillcolor="#00427a" stroked="f">
                <w10:wrap anchorx="page" anchory="page"/>
                <w10:anchorlock/>
              </v:rect>
            </w:pict>
          </mc:Fallback>
        </mc:AlternateContent>
      </w:r>
      <w:bookmarkStart w:id="0" w:name="_GoBack"/>
      <w:bookmarkEnd w:id="0"/>
      <w:r w:rsidR="005F1867">
        <w:rPr>
          <w:rFonts w:ascii="Osaka" w:eastAsia="Osaka" w:cs="Osaka"/>
          <w:color w:val="000000"/>
          <w:sz w:val="2"/>
          <w:szCs w:val="2"/>
          <w:u w:color="000000"/>
        </w:rPr>
        <w:t xml:space="preserve"> </w:t>
      </w:r>
      <w:r w:rsidR="00AC70C4">
        <w:rPr>
          <w:rFonts w:ascii="Osaka" w:eastAsia="Osaka" w:cs="Osaka" w:hint="eastAsia"/>
          <w:color w:val="000000"/>
          <w:sz w:val="2"/>
          <w:szCs w:val="2"/>
          <w:u w:color="000000"/>
        </w:rPr>
        <w:t xml:space="preserve"> </w:t>
      </w:r>
    </w:p>
    <w:p w14:paraId="22C67DCE" w14:textId="3D2BD4F8" w:rsidR="004C7A45" w:rsidRPr="00825B17" w:rsidRDefault="00CC2647" w:rsidP="00352BAE">
      <w:pPr>
        <w:pStyle w:val="Title"/>
        <w:rPr>
          <w:rFonts w:hint="eastAsia"/>
        </w:rPr>
      </w:pPr>
      <w:r w:rsidRPr="00825B17">
        <w:rPr>
          <w:noProof/>
          <w:lang w:val="en-AU" w:eastAsia="en-AU"/>
        </w:rPr>
        <w:drawing>
          <wp:anchor distT="0" distB="0" distL="114300" distR="114300" simplePos="0" relativeHeight="251667456" behindDoc="0" locked="1" layoutInCell="1" allowOverlap="1" wp14:anchorId="53B29295" wp14:editId="6FC3DAAD">
            <wp:simplePos x="0" y="0"/>
            <wp:positionH relativeFrom="column">
              <wp:posOffset>4521835</wp:posOffset>
            </wp:positionH>
            <wp:positionV relativeFrom="page">
              <wp:posOffset>9177020</wp:posOffset>
            </wp:positionV>
            <wp:extent cx="1146810" cy="1259840"/>
            <wp:effectExtent l="0" t="0" r="0" b="0"/>
            <wp:wrapNone/>
            <wp:docPr id="12" name="Picture 12"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Libraries:PIRSA:Logos:PIRSA:Lockup:PNG:PIRSA Lockup RGB.png"/>
                    <pic:cNvPicPr>
                      <a:picLocks noChangeAspect="1" noChangeArrowheads="1"/>
                    </pic:cNvPicPr>
                  </pic:nvPicPr>
                  <pic:blipFill rotWithShape="1">
                    <a:blip r:embed="rId9">
                      <a:extLst>
                        <a:ext uri="{28A0092B-C50C-407E-A947-70E740481C1C}">
                          <a14:useLocalDpi xmlns:a14="http://schemas.microsoft.com/office/drawing/2010/main" val="0"/>
                        </a:ext>
                      </a:extLst>
                    </a:blip>
                    <a:srcRect r="48692"/>
                    <a:stretch/>
                  </pic:blipFill>
                  <pic:spPr bwMode="auto">
                    <a:xfrm>
                      <a:off x="0" y="0"/>
                      <a:ext cx="1146810" cy="12598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1046AD">
        <w:rPr>
          <w:noProof/>
          <w:lang w:val="en-AU" w:eastAsia="en-AU"/>
        </w:rPr>
        <w:t xml:space="preserve">Draft Management Plan for the South Australian Commercial </w:t>
      </w:r>
      <w:r w:rsidR="00455681">
        <w:rPr>
          <w:noProof/>
          <w:lang w:val="en-AU" w:eastAsia="en-AU"/>
        </w:rPr>
        <w:t>Northern</w:t>
      </w:r>
      <w:r w:rsidR="00B07DCF">
        <w:rPr>
          <w:noProof/>
          <w:lang w:val="en-AU" w:eastAsia="en-AU"/>
        </w:rPr>
        <w:t xml:space="preserve"> Zone Rock Lobster Fishery</w:t>
      </w:r>
      <w:r w:rsidR="001046AD">
        <w:rPr>
          <w:noProof/>
          <w:lang w:val="en-AU" w:eastAsia="en-AU"/>
        </w:rPr>
        <w:t xml:space="preserve"> – Summary of key changes</w:t>
      </w:r>
    </w:p>
    <w:p w14:paraId="62FBB7B8" w14:textId="140A97CC" w:rsidR="003F648B" w:rsidRPr="00446632" w:rsidRDefault="006D69C7" w:rsidP="00825B17">
      <w:pPr>
        <w:spacing w:before="480" w:line="600" w:lineRule="exact"/>
        <w:rPr>
          <w:rFonts w:cs="Arial"/>
          <w:sz w:val="40"/>
          <w:szCs w:val="40"/>
        </w:rPr>
      </w:pPr>
      <w:r>
        <w:rPr>
          <w:rFonts w:cs="Arial"/>
          <w:sz w:val="40"/>
          <w:szCs w:val="40"/>
        </w:rPr>
        <w:t>September</w:t>
      </w:r>
      <w:r w:rsidR="001046AD" w:rsidRPr="00446632">
        <w:rPr>
          <w:rFonts w:cs="Arial"/>
          <w:sz w:val="40"/>
          <w:szCs w:val="40"/>
        </w:rPr>
        <w:t xml:space="preserve"> 20</w:t>
      </w:r>
      <w:r w:rsidR="00455681">
        <w:rPr>
          <w:rFonts w:cs="Arial"/>
          <w:sz w:val="40"/>
          <w:szCs w:val="40"/>
        </w:rPr>
        <w:t>20</w:t>
      </w:r>
    </w:p>
    <w:p w14:paraId="196C05BE" w14:textId="0848C42B" w:rsidR="004E1139" w:rsidRPr="004C7A45" w:rsidRDefault="00044DD2" w:rsidP="00824D9B">
      <w:pPr>
        <w:rPr>
          <w:color w:val="00427A"/>
        </w:rPr>
        <w:sectPr w:rsidR="004E1139" w:rsidRPr="004C7A45" w:rsidSect="003F648B">
          <w:footerReference w:type="even" r:id="rId10"/>
          <w:type w:val="continuous"/>
          <w:pgSz w:w="11900" w:h="16820"/>
          <w:pgMar w:top="8505" w:right="851" w:bottom="1985" w:left="851" w:header="720" w:footer="567" w:gutter="0"/>
          <w:cols w:space="276"/>
        </w:sectPr>
      </w:pPr>
      <w:r>
        <w:rPr>
          <w:noProof/>
          <w:color w:val="00427A"/>
          <w:lang w:val="en-AU" w:eastAsia="en-AU"/>
        </w:rPr>
        <w:drawing>
          <wp:anchor distT="0" distB="0" distL="114300" distR="114300" simplePos="0" relativeHeight="251671552" behindDoc="1" locked="0" layoutInCell="1" allowOverlap="1" wp14:anchorId="1960B9DA" wp14:editId="56A982F0">
            <wp:simplePos x="0" y="0"/>
            <wp:positionH relativeFrom="column">
              <wp:posOffset>5818909</wp:posOffset>
            </wp:positionH>
            <wp:positionV relativeFrom="paragraph">
              <wp:posOffset>1140113</wp:posOffset>
            </wp:positionV>
            <wp:extent cx="920498" cy="9982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IR_Logo_Stacked_Full_Colour_RGB.png"/>
                    <pic:cNvPicPr/>
                  </pic:nvPicPr>
                  <pic:blipFill>
                    <a:blip r:embed="rId11">
                      <a:extLst>
                        <a:ext uri="{28A0092B-C50C-407E-A947-70E740481C1C}">
                          <a14:useLocalDpi xmlns:a14="http://schemas.microsoft.com/office/drawing/2010/main" val="0"/>
                        </a:ext>
                      </a:extLst>
                    </a:blip>
                    <a:stretch>
                      <a:fillRect/>
                    </a:stretch>
                  </pic:blipFill>
                  <pic:spPr>
                    <a:xfrm>
                      <a:off x="0" y="0"/>
                      <a:ext cx="920498" cy="998222"/>
                    </a:xfrm>
                    <a:prstGeom prst="rect">
                      <a:avLst/>
                    </a:prstGeom>
                  </pic:spPr>
                </pic:pic>
              </a:graphicData>
            </a:graphic>
          </wp:anchor>
        </w:drawing>
      </w:r>
    </w:p>
    <w:p w14:paraId="25D90DB2" w14:textId="28A8D347" w:rsidR="001046AD" w:rsidRPr="00997269" w:rsidRDefault="001046AD" w:rsidP="001046AD">
      <w:pPr>
        <w:pStyle w:val="BodyText"/>
      </w:pPr>
      <w:r>
        <w:lastRenderedPageBreak/>
        <w:t>Information current as o</w:t>
      </w:r>
      <w:r w:rsidRPr="00997269">
        <w:t xml:space="preserve">f </w:t>
      </w:r>
      <w:r w:rsidR="007C297C">
        <w:t>4</w:t>
      </w:r>
      <w:r w:rsidR="008526AC">
        <w:t xml:space="preserve"> </w:t>
      </w:r>
      <w:r w:rsidR="006D69C7">
        <w:t>September</w:t>
      </w:r>
      <w:r w:rsidRPr="00997269">
        <w:t xml:space="preserve"> 20</w:t>
      </w:r>
      <w:r w:rsidR="00455681">
        <w:t>20</w:t>
      </w:r>
    </w:p>
    <w:p w14:paraId="12EF33BE" w14:textId="320823E3" w:rsidR="001046AD" w:rsidRDefault="001046AD" w:rsidP="001046AD">
      <w:pPr>
        <w:pStyle w:val="BodyText"/>
      </w:pPr>
      <w:r w:rsidRPr="00997269">
        <w:t>© Government of South Australia 20</w:t>
      </w:r>
      <w:r w:rsidR="00455681">
        <w:t>20</w:t>
      </w:r>
    </w:p>
    <w:p w14:paraId="7DA0BDD6" w14:textId="77777777" w:rsidR="001046AD" w:rsidRDefault="001046AD" w:rsidP="001046AD">
      <w:pPr>
        <w:pStyle w:val="BodyText"/>
      </w:pPr>
    </w:p>
    <w:p w14:paraId="1A9FB554" w14:textId="77777777" w:rsidR="001046AD" w:rsidRDefault="001046AD" w:rsidP="001046AD">
      <w:pPr>
        <w:pStyle w:val="FeatureText"/>
      </w:pPr>
      <w:r>
        <w:t>Disclaimer</w:t>
      </w:r>
    </w:p>
    <w:p w14:paraId="7BFC1148" w14:textId="77777777" w:rsidR="001046AD" w:rsidRDefault="001046AD" w:rsidP="001046AD">
      <w:pPr>
        <w:pStyle w:val="BodyText"/>
      </w:pPr>
      <w:r>
        <w:t>PIRSA and its employees do not warrant or make any representation regarding the use, or results of the use, of the information contained herein as regards to its correctness, accuracy, reliability and currency or otherwise. PIRSA and its employees expressly disclaim all liability or responsibility to any person using the information or advice.</w:t>
      </w:r>
    </w:p>
    <w:p w14:paraId="102FF916" w14:textId="77777777" w:rsidR="001046AD" w:rsidRDefault="001046AD" w:rsidP="001046AD">
      <w:pPr>
        <w:pStyle w:val="BodyText"/>
      </w:pPr>
    </w:p>
    <w:p w14:paraId="1B737346" w14:textId="77777777" w:rsidR="001046AD" w:rsidRDefault="001046AD" w:rsidP="001046AD">
      <w:pPr>
        <w:pStyle w:val="FeatureText"/>
      </w:pPr>
      <w:r>
        <w:t>All enquiries</w:t>
      </w:r>
    </w:p>
    <w:p w14:paraId="3719F356" w14:textId="6D7E0D63" w:rsidR="001046AD" w:rsidRDefault="001046AD" w:rsidP="001046AD">
      <w:pPr>
        <w:pStyle w:val="BodyText"/>
        <w:spacing w:before="0"/>
      </w:pPr>
      <w:r>
        <w:t>Annabel Jones</w:t>
      </w:r>
    </w:p>
    <w:p w14:paraId="7998F8D7" w14:textId="649E91F5" w:rsidR="001046AD" w:rsidRDefault="005F1867" w:rsidP="001046AD">
      <w:pPr>
        <w:pStyle w:val="BodyText"/>
        <w:spacing w:before="0"/>
      </w:pPr>
      <w:r>
        <w:t xml:space="preserve">Department of </w:t>
      </w:r>
      <w:r w:rsidR="001046AD">
        <w:t>P</w:t>
      </w:r>
      <w:r>
        <w:t>rimary Industries and Regions</w:t>
      </w:r>
      <w:r w:rsidR="001046AD">
        <w:t xml:space="preserve"> (PIRSA)</w:t>
      </w:r>
    </w:p>
    <w:p w14:paraId="7C8F3EB2" w14:textId="053515E5" w:rsidR="001046AD" w:rsidRDefault="00455681" w:rsidP="001046AD">
      <w:pPr>
        <w:pStyle w:val="BodyText"/>
        <w:spacing w:before="0"/>
      </w:pPr>
      <w:r>
        <w:t xml:space="preserve">2 </w:t>
      </w:r>
      <w:proofErr w:type="spellStart"/>
      <w:r>
        <w:t>Hamra</w:t>
      </w:r>
      <w:proofErr w:type="spellEnd"/>
      <w:r>
        <w:t xml:space="preserve"> Avenue</w:t>
      </w:r>
      <w:r w:rsidR="00532853">
        <w:t>, West Beach</w:t>
      </w:r>
    </w:p>
    <w:p w14:paraId="1E6536C4" w14:textId="5B898CED" w:rsidR="001046AD" w:rsidRDefault="001046AD" w:rsidP="001046AD">
      <w:pPr>
        <w:pStyle w:val="BodyText"/>
        <w:spacing w:before="0"/>
      </w:pPr>
      <w:r>
        <w:t>GPO Box 16</w:t>
      </w:r>
      <w:r w:rsidR="00455681">
        <w:t>25</w:t>
      </w:r>
      <w:r>
        <w:t>, Adelaide SA 5001</w:t>
      </w:r>
    </w:p>
    <w:p w14:paraId="2BF2B9AC" w14:textId="0B5454CF" w:rsidR="001046AD" w:rsidRDefault="001046AD" w:rsidP="001046AD">
      <w:pPr>
        <w:pStyle w:val="BodyText"/>
        <w:spacing w:before="0"/>
      </w:pPr>
      <w:r>
        <w:t xml:space="preserve">T: 08 </w:t>
      </w:r>
      <w:r w:rsidR="00455681">
        <w:t>8207 5333</w:t>
      </w:r>
    </w:p>
    <w:p w14:paraId="747C80B4" w14:textId="3426DE67" w:rsidR="004E1139" w:rsidRDefault="001046AD" w:rsidP="001046AD">
      <w:pPr>
        <w:pStyle w:val="BodyText"/>
        <w:spacing w:before="0"/>
      </w:pPr>
      <w:r>
        <w:t>E: Annabel.jones@sa.gov.au</w:t>
      </w:r>
    </w:p>
    <w:p w14:paraId="2D676DF5" w14:textId="77777777" w:rsidR="001046AD" w:rsidRDefault="001046AD" w:rsidP="001046AD">
      <w:pPr>
        <w:pStyle w:val="BodyText"/>
        <w:rPr>
          <w:rFonts w:ascii="Arial Bold" w:eastAsiaTheme="majorEastAsia" w:hAnsi="Arial Bold" w:cstheme="majorBidi" w:hint="eastAsia"/>
          <w:bCs/>
          <w:color w:val="00427A"/>
          <w:kern w:val="40"/>
          <w:sz w:val="48"/>
          <w:szCs w:val="48"/>
        </w:rPr>
      </w:pPr>
      <w:r>
        <w:br w:type="page"/>
      </w:r>
    </w:p>
    <w:p w14:paraId="489A657C" w14:textId="53FA6914" w:rsidR="004E1139" w:rsidRDefault="001046AD" w:rsidP="00352BAE">
      <w:pPr>
        <w:pStyle w:val="Heading1"/>
        <w:rPr>
          <w:rFonts w:hint="eastAsia"/>
        </w:rPr>
      </w:pPr>
      <w:r>
        <w:lastRenderedPageBreak/>
        <w:t>Introduction</w:t>
      </w:r>
    </w:p>
    <w:p w14:paraId="7F1264B4" w14:textId="23DC6576" w:rsidR="001046AD" w:rsidRDefault="001046AD" w:rsidP="00446632">
      <w:pPr>
        <w:pStyle w:val="BodyText"/>
      </w:pPr>
      <w:r w:rsidRPr="001046AD">
        <w:t xml:space="preserve">A five-year Management Plan for the South Australian Commercial </w:t>
      </w:r>
      <w:r w:rsidR="00846F77">
        <w:t>Northern</w:t>
      </w:r>
      <w:r w:rsidR="00B07DCF">
        <w:t xml:space="preserve"> Zone Rock Lobster</w:t>
      </w:r>
      <w:r w:rsidRPr="001046AD">
        <w:t xml:space="preserve"> Fishery </w:t>
      </w:r>
      <w:r w:rsidR="00B07DCF">
        <w:t>(</w:t>
      </w:r>
      <w:r w:rsidR="00846F77">
        <w:t>N</w:t>
      </w:r>
      <w:r w:rsidR="00B07DCF">
        <w:t xml:space="preserve">ZRLF) </w:t>
      </w:r>
      <w:r w:rsidRPr="001046AD">
        <w:t xml:space="preserve">adopted </w:t>
      </w:r>
      <w:r w:rsidR="00B07DCF">
        <w:t xml:space="preserve">on </w:t>
      </w:r>
      <w:r w:rsidR="00846F77">
        <w:t>14</w:t>
      </w:r>
      <w:r w:rsidR="00B07DCF">
        <w:t xml:space="preserve"> </w:t>
      </w:r>
      <w:r w:rsidR="00846F77">
        <w:t>November</w:t>
      </w:r>
      <w:r w:rsidR="00B07DCF">
        <w:t xml:space="preserve"> 20</w:t>
      </w:r>
      <w:r w:rsidR="00846F77">
        <w:t>14</w:t>
      </w:r>
      <w:r w:rsidRPr="001046AD">
        <w:t xml:space="preserve"> </w:t>
      </w:r>
      <w:r w:rsidR="00B07DCF">
        <w:t>expires on 30 June 202</w:t>
      </w:r>
      <w:r w:rsidR="00590532">
        <w:t>1</w:t>
      </w:r>
      <w:r w:rsidR="004C4F6D">
        <w:t>,</w:t>
      </w:r>
      <w:r w:rsidR="00B07DCF">
        <w:t xml:space="preserve"> following an extension to the </w:t>
      </w:r>
      <w:r w:rsidR="007C297C">
        <w:t xml:space="preserve">term of the </w:t>
      </w:r>
      <w:r w:rsidR="00B07DCF">
        <w:t xml:space="preserve">Management Plan to this date </w:t>
      </w:r>
      <w:r w:rsidR="00731D5D">
        <w:t xml:space="preserve">implemented on </w:t>
      </w:r>
      <w:r w:rsidR="00590532">
        <w:t>31</w:t>
      </w:r>
      <w:r w:rsidR="00731D5D">
        <w:t xml:space="preserve"> </w:t>
      </w:r>
      <w:r w:rsidR="00590532">
        <w:t>October</w:t>
      </w:r>
      <w:r w:rsidR="00731D5D">
        <w:t xml:space="preserve"> 201</w:t>
      </w:r>
      <w:r w:rsidR="00590532">
        <w:t>9</w:t>
      </w:r>
      <w:r w:rsidRPr="001046AD">
        <w:t>.</w:t>
      </w:r>
    </w:p>
    <w:p w14:paraId="232A8850" w14:textId="176EC456" w:rsidR="00731D5D" w:rsidRDefault="00446632" w:rsidP="00446632">
      <w:pPr>
        <w:pStyle w:val="BodyText"/>
      </w:pPr>
      <w:r>
        <w:t xml:space="preserve">The Executive Director, </w:t>
      </w:r>
      <w:r w:rsidR="001046AD" w:rsidRPr="001046AD">
        <w:t>Fisheries and Aquaculture</w:t>
      </w:r>
      <w:r>
        <w:t>,</w:t>
      </w:r>
      <w:r w:rsidR="001046AD" w:rsidRPr="001046AD">
        <w:t xml:space="preserve"> </w:t>
      </w:r>
      <w:r w:rsidR="00044DD2">
        <w:t xml:space="preserve">Department of </w:t>
      </w:r>
      <w:r w:rsidR="00454017">
        <w:t xml:space="preserve">Primary Industries and Regions </w:t>
      </w:r>
      <w:r w:rsidR="004C4F6D">
        <w:t>(</w:t>
      </w:r>
      <w:r w:rsidR="004C4F6D" w:rsidRPr="001046AD">
        <w:t>PIRSA</w:t>
      </w:r>
      <w:r w:rsidR="004C4F6D">
        <w:t xml:space="preserve">) </w:t>
      </w:r>
      <w:r w:rsidR="00731D5D">
        <w:t>tasked the</w:t>
      </w:r>
      <w:r w:rsidR="00731D5D" w:rsidRPr="00731D5D">
        <w:t xml:space="preserve"> Rock Lobster Fisher</w:t>
      </w:r>
      <w:r w:rsidR="004C4F6D">
        <w:t>y</w:t>
      </w:r>
      <w:r w:rsidR="00731D5D" w:rsidRPr="00731D5D">
        <w:t xml:space="preserve"> Management Advisory Committee (RLFMAC), the </w:t>
      </w:r>
      <w:proofErr w:type="spellStart"/>
      <w:r w:rsidR="00F30C04">
        <w:t>recognis</w:t>
      </w:r>
      <w:r w:rsidR="00731D5D">
        <w:t>ed</w:t>
      </w:r>
      <w:proofErr w:type="spellEnd"/>
      <w:r w:rsidR="00731D5D">
        <w:t xml:space="preserve"> peak</w:t>
      </w:r>
      <w:r w:rsidR="00731D5D" w:rsidRPr="00731D5D">
        <w:t xml:space="preserve"> advisory body to PIRSA on fisheries management for the South Australian Rock Lobster Fishery, </w:t>
      </w:r>
      <w:r w:rsidR="00731D5D">
        <w:t>to conduct a review of the management plan and recommend amendments to</w:t>
      </w:r>
      <w:r w:rsidR="004C4F6D">
        <w:t xml:space="preserve"> the</w:t>
      </w:r>
      <w:r w:rsidR="00731D5D">
        <w:t xml:space="preserve"> plan if necessary</w:t>
      </w:r>
      <w:r w:rsidR="001046AD" w:rsidRPr="001046AD">
        <w:t>.</w:t>
      </w:r>
      <w:r>
        <w:t xml:space="preserve"> </w:t>
      </w:r>
    </w:p>
    <w:p w14:paraId="60F05DF5" w14:textId="427BFCB0" w:rsidR="00731D5D" w:rsidRDefault="00446632" w:rsidP="00731D5D">
      <w:pPr>
        <w:pStyle w:val="BodyText"/>
      </w:pPr>
      <w:r>
        <w:t>T</w:t>
      </w:r>
      <w:r w:rsidRPr="001046AD">
        <w:t xml:space="preserve">he </w:t>
      </w:r>
      <w:r w:rsidR="00731D5D">
        <w:t>RLFMAC</w:t>
      </w:r>
      <w:r w:rsidRPr="001046AD">
        <w:t xml:space="preserve"> membership includes an Independent Chair,</w:t>
      </w:r>
      <w:r w:rsidR="00731D5D">
        <w:t xml:space="preserve"> an independent scientist, </w:t>
      </w:r>
      <w:r w:rsidR="00731D5D" w:rsidRPr="00731D5D">
        <w:t xml:space="preserve">industry members from each of the two fishing zones in the </w:t>
      </w:r>
      <w:r w:rsidR="00731D5D">
        <w:t>f</w:t>
      </w:r>
      <w:r w:rsidR="00731D5D" w:rsidRPr="00731D5D">
        <w:t xml:space="preserve">ishery, </w:t>
      </w:r>
      <w:r w:rsidR="00731D5D" w:rsidRPr="001046AD">
        <w:t>PIRSA</w:t>
      </w:r>
      <w:r w:rsidR="00731D5D" w:rsidRPr="00731D5D">
        <w:t>, a recreational</w:t>
      </w:r>
      <w:r w:rsidR="00731D5D">
        <w:t xml:space="preserve"> fisher, and a conservation member</w:t>
      </w:r>
      <w:r w:rsidR="007C297C">
        <w:t>.</w:t>
      </w:r>
      <w:r w:rsidR="007C297C" w:rsidRPr="007C297C">
        <w:t xml:space="preserve"> Permanent observers represent South Australian Research and Development Institute (SARDI), PIRSA Compliance and executive officers of the South Australian Northern Zone Rock Lobster Fishermen’s Association and the South Eastern Professional Fishermen’s Association.</w:t>
      </w:r>
    </w:p>
    <w:p w14:paraId="51E0B3B8" w14:textId="0A282CB4" w:rsidR="00BE7587" w:rsidRDefault="00BE7587" w:rsidP="00731D5D">
      <w:pPr>
        <w:pStyle w:val="BodyText"/>
      </w:pPr>
      <w:r>
        <w:t xml:space="preserve">The RLFMAC reviewed the following key components of the </w:t>
      </w:r>
      <w:r w:rsidR="004C4F6D">
        <w:t>201</w:t>
      </w:r>
      <w:r w:rsidR="00053B9A">
        <w:t>4</w:t>
      </w:r>
      <w:r w:rsidR="004C4F6D">
        <w:t xml:space="preserve"> </w:t>
      </w:r>
      <w:r>
        <w:t>management plan:</w:t>
      </w:r>
    </w:p>
    <w:p w14:paraId="71CF462D" w14:textId="4A6AAB1C" w:rsidR="00BE7587" w:rsidRPr="00BE7587" w:rsidRDefault="00BE7587" w:rsidP="00BE7587">
      <w:pPr>
        <w:pStyle w:val="ListBullet"/>
      </w:pPr>
      <w:r w:rsidRPr="00BE7587">
        <w:t>Harvest Strategy</w:t>
      </w:r>
    </w:p>
    <w:p w14:paraId="0A6E771C" w14:textId="77777777" w:rsidR="00BE7587" w:rsidRDefault="00BE7587" w:rsidP="00BE7587">
      <w:pPr>
        <w:pStyle w:val="ListBullet"/>
      </w:pPr>
      <w:r w:rsidRPr="00BE7587">
        <w:t xml:space="preserve">Ecosystem impacts </w:t>
      </w:r>
    </w:p>
    <w:p w14:paraId="6AE02958" w14:textId="77777777" w:rsidR="00BE7587" w:rsidRDefault="00BE7587" w:rsidP="00BE7587">
      <w:pPr>
        <w:pStyle w:val="ListBullet"/>
      </w:pPr>
      <w:r w:rsidRPr="00BE7587">
        <w:t xml:space="preserve">Objectives </w:t>
      </w:r>
    </w:p>
    <w:p w14:paraId="79DD06C3" w14:textId="29D6482E" w:rsidR="00BE7587" w:rsidRPr="00BE7587" w:rsidRDefault="00BE7587" w:rsidP="00BE7587">
      <w:pPr>
        <w:pStyle w:val="ListBullet"/>
      </w:pPr>
      <w:r>
        <w:t xml:space="preserve">Remaining </w:t>
      </w:r>
      <w:r w:rsidRPr="00BE7587">
        <w:t>parts of the management plan</w:t>
      </w:r>
    </w:p>
    <w:p w14:paraId="05C9F4D9" w14:textId="11E3958E" w:rsidR="00455134" w:rsidRPr="001046AD" w:rsidRDefault="00455134" w:rsidP="00446632">
      <w:pPr>
        <w:pStyle w:val="BodyText"/>
      </w:pPr>
      <w:r>
        <w:t xml:space="preserve">This document </w:t>
      </w:r>
      <w:proofErr w:type="spellStart"/>
      <w:r>
        <w:t>summarises</w:t>
      </w:r>
      <w:proofErr w:type="spellEnd"/>
      <w:r>
        <w:t xml:space="preserve"> the significant changes included in </w:t>
      </w:r>
      <w:r w:rsidR="00446632">
        <w:t xml:space="preserve">each section of </w:t>
      </w:r>
      <w:r>
        <w:t>the draft Management Plan</w:t>
      </w:r>
      <w:r w:rsidR="00731D5D">
        <w:t xml:space="preserve"> now provided for public consultation</w:t>
      </w:r>
      <w:r>
        <w:t>.</w:t>
      </w:r>
    </w:p>
    <w:p w14:paraId="60DC147F" w14:textId="57E7A1F2" w:rsidR="000203EC" w:rsidRPr="00455134" w:rsidRDefault="00455134" w:rsidP="00455134">
      <w:pPr>
        <w:pStyle w:val="Heading2"/>
        <w:rPr>
          <w:rFonts w:hint="eastAsia"/>
        </w:rPr>
      </w:pPr>
      <w:r>
        <w:t>Fishery to which this plan applies (Section 1)</w:t>
      </w:r>
    </w:p>
    <w:p w14:paraId="06CFB13E" w14:textId="77777777" w:rsidR="007F5F3E" w:rsidRPr="001D4AD0" w:rsidRDefault="007F5F3E" w:rsidP="007F5F3E">
      <w:pPr>
        <w:pStyle w:val="BodyText"/>
        <w:rPr>
          <w:lang w:eastAsia="en-US"/>
        </w:rPr>
      </w:pPr>
      <w:r>
        <w:rPr>
          <w:lang w:eastAsia="en-US"/>
        </w:rPr>
        <w:t>Minor amendments to update references to fisheries regulations.</w:t>
      </w:r>
    </w:p>
    <w:p w14:paraId="11C56E20" w14:textId="77777777" w:rsidR="00455134" w:rsidRPr="001D4AD0" w:rsidRDefault="00455134" w:rsidP="00455134">
      <w:pPr>
        <w:pStyle w:val="Heading2"/>
        <w:rPr>
          <w:rFonts w:hint="eastAsia"/>
        </w:rPr>
      </w:pPr>
      <w:r w:rsidRPr="001D4AD0">
        <w:t>Consistency with other management plans (Section 2)</w:t>
      </w:r>
    </w:p>
    <w:p w14:paraId="5E1E73FA" w14:textId="5B3F3FA2" w:rsidR="00455134" w:rsidRPr="001D4AD0" w:rsidRDefault="00BE7587" w:rsidP="00455134">
      <w:pPr>
        <w:pStyle w:val="BodyText"/>
        <w:rPr>
          <w:lang w:eastAsia="en-US"/>
        </w:rPr>
      </w:pPr>
      <w:r>
        <w:rPr>
          <w:lang w:eastAsia="en-US"/>
        </w:rPr>
        <w:t>Minor amendments to update references to fisheries regulations.</w:t>
      </w:r>
    </w:p>
    <w:p w14:paraId="51541A0E" w14:textId="77777777" w:rsidR="00455134" w:rsidRPr="001D4AD0" w:rsidRDefault="00455134" w:rsidP="00455134">
      <w:pPr>
        <w:pStyle w:val="Heading2"/>
        <w:rPr>
          <w:rFonts w:hint="eastAsia"/>
        </w:rPr>
      </w:pPr>
      <w:r w:rsidRPr="001D4AD0">
        <w:t>Term of plan (Section 3)</w:t>
      </w:r>
    </w:p>
    <w:p w14:paraId="675AFA89" w14:textId="6687E9CD" w:rsidR="00BE7587" w:rsidRDefault="00455134" w:rsidP="00455134">
      <w:pPr>
        <w:pStyle w:val="BodyText"/>
        <w:rPr>
          <w:lang w:eastAsia="en-US"/>
        </w:rPr>
      </w:pPr>
      <w:r>
        <w:rPr>
          <w:lang w:eastAsia="en-US"/>
        </w:rPr>
        <w:t>T</w:t>
      </w:r>
      <w:r w:rsidRPr="001D4AD0">
        <w:rPr>
          <w:lang w:eastAsia="en-US"/>
        </w:rPr>
        <w:t xml:space="preserve">he term of the </w:t>
      </w:r>
      <w:r w:rsidR="007C297C">
        <w:rPr>
          <w:lang w:eastAsia="en-US"/>
        </w:rPr>
        <w:t>p</w:t>
      </w:r>
      <w:r w:rsidRPr="001D4AD0">
        <w:rPr>
          <w:lang w:eastAsia="en-US"/>
        </w:rPr>
        <w:t xml:space="preserve">lan </w:t>
      </w:r>
      <w:r w:rsidR="00BE7587">
        <w:rPr>
          <w:lang w:eastAsia="en-US"/>
        </w:rPr>
        <w:t>is proposed to apply</w:t>
      </w:r>
      <w:r w:rsidRPr="001D4AD0">
        <w:rPr>
          <w:lang w:eastAsia="en-US"/>
        </w:rPr>
        <w:t xml:space="preserve"> </w:t>
      </w:r>
      <w:r>
        <w:rPr>
          <w:lang w:eastAsia="en-US"/>
        </w:rPr>
        <w:t>from the date of adoption</w:t>
      </w:r>
      <w:r w:rsidR="00BE7587">
        <w:rPr>
          <w:lang w:eastAsia="en-US"/>
        </w:rPr>
        <w:t xml:space="preserve"> on 1 July 202</w:t>
      </w:r>
      <w:r w:rsidR="00053B9A">
        <w:rPr>
          <w:lang w:eastAsia="en-US"/>
        </w:rPr>
        <w:t>1</w:t>
      </w:r>
      <w:r>
        <w:rPr>
          <w:lang w:eastAsia="en-US"/>
        </w:rPr>
        <w:t xml:space="preserve"> for a period of </w:t>
      </w:r>
      <w:r w:rsidR="007A37E7">
        <w:rPr>
          <w:lang w:eastAsia="en-US"/>
        </w:rPr>
        <w:t>ten</w:t>
      </w:r>
      <w:r>
        <w:rPr>
          <w:lang w:eastAsia="en-US"/>
        </w:rPr>
        <w:t xml:space="preserve"> years</w:t>
      </w:r>
      <w:r w:rsidR="00446632">
        <w:rPr>
          <w:lang w:eastAsia="en-US"/>
        </w:rPr>
        <w:t>.</w:t>
      </w:r>
      <w:r w:rsidR="007A37E7">
        <w:rPr>
          <w:lang w:eastAsia="en-US"/>
        </w:rPr>
        <w:t xml:space="preserve"> </w:t>
      </w:r>
    </w:p>
    <w:p w14:paraId="22787BEE" w14:textId="7EA6AE8F" w:rsidR="00455134" w:rsidRPr="001D4AD0" w:rsidRDefault="007A37E7" w:rsidP="00455134">
      <w:pPr>
        <w:pStyle w:val="BodyText"/>
        <w:rPr>
          <w:lang w:eastAsia="en-US"/>
        </w:rPr>
      </w:pPr>
      <w:r>
        <w:rPr>
          <w:lang w:eastAsia="en-US"/>
        </w:rPr>
        <w:lastRenderedPageBreak/>
        <w:t xml:space="preserve">The </w:t>
      </w:r>
      <w:r w:rsidRPr="00BE7587">
        <w:rPr>
          <w:i/>
          <w:lang w:eastAsia="en-US"/>
        </w:rPr>
        <w:t xml:space="preserve">Fisheries Management Act </w:t>
      </w:r>
      <w:r w:rsidR="00BE7587" w:rsidRPr="00BE7587">
        <w:rPr>
          <w:i/>
          <w:lang w:eastAsia="en-US"/>
        </w:rPr>
        <w:t xml:space="preserve">2007 </w:t>
      </w:r>
      <w:r>
        <w:rPr>
          <w:lang w:eastAsia="en-US"/>
        </w:rPr>
        <w:t xml:space="preserve">requires a review of a management plan as soon as practicable </w:t>
      </w:r>
      <w:r w:rsidR="00BE7587">
        <w:rPr>
          <w:lang w:eastAsia="en-US"/>
        </w:rPr>
        <w:t xml:space="preserve">after the </w:t>
      </w:r>
      <w:r>
        <w:rPr>
          <w:lang w:eastAsia="en-US"/>
        </w:rPr>
        <w:t>fifth anniversary</w:t>
      </w:r>
      <w:r w:rsidR="00BE7587">
        <w:rPr>
          <w:lang w:eastAsia="en-US"/>
        </w:rPr>
        <w:t xml:space="preserve"> of the commencement of the management plan. Hence a review of the Management Plan will be required as soon as practicable after 1 July 202</w:t>
      </w:r>
      <w:r w:rsidR="00053B9A">
        <w:rPr>
          <w:lang w:eastAsia="en-US"/>
        </w:rPr>
        <w:t>6</w:t>
      </w:r>
      <w:r w:rsidR="00BE7587">
        <w:rPr>
          <w:lang w:eastAsia="en-US"/>
        </w:rPr>
        <w:t>.</w:t>
      </w:r>
    </w:p>
    <w:p w14:paraId="03372212" w14:textId="77777777" w:rsidR="00455134" w:rsidRPr="001D4AD0" w:rsidRDefault="00455134" w:rsidP="00455134">
      <w:pPr>
        <w:pStyle w:val="Heading2"/>
        <w:rPr>
          <w:rFonts w:hint="eastAsia"/>
        </w:rPr>
      </w:pPr>
      <w:r w:rsidRPr="001D4AD0">
        <w:t>Description of fishery (Section 4)</w:t>
      </w:r>
    </w:p>
    <w:p w14:paraId="215E97B6" w14:textId="1099E934" w:rsidR="00FD4693" w:rsidRDefault="00FD4693" w:rsidP="00FD4693">
      <w:pPr>
        <w:pStyle w:val="Heading3"/>
        <w:rPr>
          <w:rFonts w:hint="eastAsia"/>
          <w:lang w:eastAsia="en-US"/>
        </w:rPr>
      </w:pPr>
      <w:r>
        <w:rPr>
          <w:lang w:eastAsia="en-US"/>
        </w:rPr>
        <w:t xml:space="preserve">Commercial Fishing </w:t>
      </w:r>
    </w:p>
    <w:p w14:paraId="2866E8E2" w14:textId="6CD487D5" w:rsidR="00053B9A" w:rsidRDefault="007F5F3E">
      <w:pPr>
        <w:pStyle w:val="BodyText"/>
        <w:rPr>
          <w:lang w:eastAsia="en-US"/>
        </w:rPr>
      </w:pPr>
      <w:r>
        <w:rPr>
          <w:lang w:eastAsia="en-US"/>
        </w:rPr>
        <w:t>I</w:t>
      </w:r>
      <w:r w:rsidR="00455134" w:rsidRPr="001D4AD0">
        <w:rPr>
          <w:lang w:eastAsia="en-US"/>
        </w:rPr>
        <w:t xml:space="preserve">nformation </w:t>
      </w:r>
      <w:r w:rsidR="00446632">
        <w:rPr>
          <w:lang w:eastAsia="en-US"/>
        </w:rPr>
        <w:t xml:space="preserve">has been </w:t>
      </w:r>
      <w:r w:rsidR="00455134" w:rsidRPr="001D4AD0">
        <w:rPr>
          <w:lang w:eastAsia="en-US"/>
        </w:rPr>
        <w:t>updated</w:t>
      </w:r>
      <w:r w:rsidR="001B1DB3">
        <w:rPr>
          <w:lang w:eastAsia="en-US"/>
        </w:rPr>
        <w:t xml:space="preserve"> related to separation of the zone into two regions, Inner and Outer Regions</w:t>
      </w:r>
      <w:r>
        <w:rPr>
          <w:lang w:eastAsia="en-US"/>
        </w:rPr>
        <w:t xml:space="preserve"> in 2015</w:t>
      </w:r>
      <w:r w:rsidR="001B1DB3">
        <w:rPr>
          <w:lang w:eastAsia="en-US"/>
        </w:rPr>
        <w:t xml:space="preserve"> and removal of t</w:t>
      </w:r>
      <w:r w:rsidR="00D016CB" w:rsidRPr="00D016CB">
        <w:rPr>
          <w:lang w:eastAsia="en-US"/>
        </w:rPr>
        <w:t>he annual winter fishing closure in the Outer Region in 2016, allowing commercial fishing in this region for 12 months of the year.</w:t>
      </w:r>
    </w:p>
    <w:p w14:paraId="358597D3" w14:textId="02036809" w:rsidR="00053B9A" w:rsidRPr="00AB0D56" w:rsidRDefault="001B1DB3" w:rsidP="00FD4693">
      <w:pPr>
        <w:pStyle w:val="BodyText"/>
        <w:rPr>
          <w:rFonts w:cs="Arial"/>
        </w:rPr>
      </w:pPr>
      <w:r>
        <w:rPr>
          <w:rFonts w:cs="Arial"/>
        </w:rPr>
        <w:t xml:space="preserve">A description of the </w:t>
      </w:r>
      <w:r w:rsidR="00D016CB">
        <w:rPr>
          <w:rFonts w:cs="Arial"/>
        </w:rPr>
        <w:t xml:space="preserve">disruption </w:t>
      </w:r>
      <w:r>
        <w:rPr>
          <w:rFonts w:cs="Arial"/>
        </w:rPr>
        <w:t>to</w:t>
      </w:r>
      <w:r w:rsidR="00D016CB">
        <w:rPr>
          <w:rFonts w:cs="Arial"/>
        </w:rPr>
        <w:t xml:space="preserve"> the export market </w:t>
      </w:r>
      <w:r w:rsidR="002B4AF2">
        <w:rPr>
          <w:rFonts w:cs="Arial"/>
        </w:rPr>
        <w:t>from</w:t>
      </w:r>
      <w:r w:rsidR="00D016CB">
        <w:rPr>
          <w:rFonts w:cs="Arial"/>
        </w:rPr>
        <w:t xml:space="preserve"> the COVID-19 global pandemic in 2020 </w:t>
      </w:r>
      <w:r>
        <w:rPr>
          <w:rFonts w:cs="Arial"/>
        </w:rPr>
        <w:t xml:space="preserve">and </w:t>
      </w:r>
      <w:r w:rsidR="00D016CB">
        <w:rPr>
          <w:rFonts w:cs="Arial"/>
        </w:rPr>
        <w:t xml:space="preserve">temporary management arrangements </w:t>
      </w:r>
      <w:r>
        <w:rPr>
          <w:rFonts w:cs="Arial"/>
        </w:rPr>
        <w:t>implemented in response is also included</w:t>
      </w:r>
      <w:r w:rsidR="00D016CB">
        <w:rPr>
          <w:rFonts w:cs="Arial"/>
        </w:rPr>
        <w:t xml:space="preserve">. These </w:t>
      </w:r>
      <w:r w:rsidR="007F5F3E">
        <w:rPr>
          <w:rFonts w:cs="Arial"/>
        </w:rPr>
        <w:t xml:space="preserve">temporary </w:t>
      </w:r>
      <w:r w:rsidR="00D016CB">
        <w:rPr>
          <w:rFonts w:cs="Arial"/>
        </w:rPr>
        <w:t>arrangements included removing the normal winter fishing closure</w:t>
      </w:r>
      <w:r w:rsidR="007C297C">
        <w:rPr>
          <w:rFonts w:cs="Arial"/>
        </w:rPr>
        <w:t xml:space="preserve"> for the commercial fishery</w:t>
      </w:r>
      <w:r w:rsidR="00D016CB">
        <w:rPr>
          <w:rFonts w:cs="Arial"/>
        </w:rPr>
        <w:t xml:space="preserve"> in the Inner Region of the fishery in 2020 and allowing for uncaught quota entitlements to be carried over from the 2019/20 </w:t>
      </w:r>
      <w:r w:rsidR="007C297C">
        <w:rPr>
          <w:rFonts w:cs="Arial"/>
        </w:rPr>
        <w:t>quota period</w:t>
      </w:r>
      <w:r w:rsidR="00D016CB">
        <w:rPr>
          <w:rFonts w:cs="Arial"/>
        </w:rPr>
        <w:t xml:space="preserve"> to the following two </w:t>
      </w:r>
      <w:r w:rsidR="007C297C">
        <w:rPr>
          <w:rFonts w:cs="Arial"/>
        </w:rPr>
        <w:t>quota periods</w:t>
      </w:r>
      <w:r w:rsidR="00D016CB">
        <w:rPr>
          <w:rFonts w:cs="Arial"/>
        </w:rPr>
        <w:t xml:space="preserve">. </w:t>
      </w:r>
    </w:p>
    <w:p w14:paraId="47F69D0B" w14:textId="25196EAD" w:rsidR="00FD4693" w:rsidRDefault="00FD4693" w:rsidP="00FD4693">
      <w:pPr>
        <w:pStyle w:val="Heading3"/>
        <w:rPr>
          <w:rFonts w:hint="eastAsia"/>
          <w:lang w:eastAsia="en-US"/>
        </w:rPr>
      </w:pPr>
      <w:r>
        <w:rPr>
          <w:lang w:eastAsia="en-US"/>
        </w:rPr>
        <w:t>Recreational Fishing</w:t>
      </w:r>
    </w:p>
    <w:p w14:paraId="5BB79E6A" w14:textId="2AE6D9F9" w:rsidR="00FD4693" w:rsidRDefault="002B4AF2" w:rsidP="00FD4693">
      <w:pPr>
        <w:pStyle w:val="BodyText"/>
        <w:rPr>
          <w:lang w:eastAsia="en-US"/>
        </w:rPr>
      </w:pPr>
      <w:r>
        <w:rPr>
          <w:lang w:eastAsia="en-US"/>
        </w:rPr>
        <w:t>Updated to include</w:t>
      </w:r>
      <w:r w:rsidR="00FD4693">
        <w:rPr>
          <w:lang w:eastAsia="en-US"/>
        </w:rPr>
        <w:t xml:space="preserve"> information from the most recent recreational fishing survey conducted in 2013/14. </w:t>
      </w:r>
    </w:p>
    <w:p w14:paraId="3674CD0D" w14:textId="22A95935" w:rsidR="00FD4693" w:rsidRDefault="00FD4693" w:rsidP="00FD4693">
      <w:pPr>
        <w:pStyle w:val="Heading3"/>
        <w:rPr>
          <w:rFonts w:hint="eastAsia"/>
          <w:lang w:eastAsia="en-US"/>
        </w:rPr>
      </w:pPr>
      <w:r>
        <w:rPr>
          <w:lang w:eastAsia="en-US"/>
        </w:rPr>
        <w:t>Aboriginal traditional fishing sector</w:t>
      </w:r>
    </w:p>
    <w:p w14:paraId="55D00FFB" w14:textId="3DFBCBFD" w:rsidR="00FD4693" w:rsidRDefault="007F5F3E" w:rsidP="00FD4693">
      <w:pPr>
        <w:pStyle w:val="BodyText"/>
        <w:rPr>
          <w:lang w:eastAsia="en-US"/>
        </w:rPr>
      </w:pPr>
      <w:r>
        <w:rPr>
          <w:lang w:eastAsia="en-US"/>
        </w:rPr>
        <w:t>Minor changes</w:t>
      </w:r>
      <w:r w:rsidR="00BD4DFE">
        <w:rPr>
          <w:lang w:eastAsia="en-US"/>
        </w:rPr>
        <w:t>.</w:t>
      </w:r>
    </w:p>
    <w:p w14:paraId="3276AF2A" w14:textId="79897DDA" w:rsidR="00FD4693" w:rsidRDefault="00FD4693" w:rsidP="00FD4693">
      <w:pPr>
        <w:pStyle w:val="Heading3"/>
        <w:rPr>
          <w:rFonts w:hint="eastAsia"/>
          <w:lang w:eastAsia="en-US"/>
        </w:rPr>
      </w:pPr>
      <w:r>
        <w:rPr>
          <w:lang w:eastAsia="en-US"/>
        </w:rPr>
        <w:t>Ecosystem and habitat</w:t>
      </w:r>
    </w:p>
    <w:p w14:paraId="2AADFB26" w14:textId="204F318E" w:rsidR="00FD4693" w:rsidRDefault="007F5F3E" w:rsidP="00FD4693">
      <w:pPr>
        <w:pStyle w:val="BodyText"/>
        <w:rPr>
          <w:lang w:eastAsia="en-US"/>
        </w:rPr>
      </w:pPr>
      <w:r>
        <w:rPr>
          <w:lang w:eastAsia="en-US"/>
        </w:rPr>
        <w:t xml:space="preserve">Simplified. </w:t>
      </w:r>
    </w:p>
    <w:p w14:paraId="62CD013B" w14:textId="22E32F9F" w:rsidR="00FD4693" w:rsidRDefault="00FD4693" w:rsidP="00FD4693">
      <w:pPr>
        <w:pStyle w:val="Heading3"/>
        <w:rPr>
          <w:rFonts w:hint="eastAsia"/>
          <w:lang w:eastAsia="en-US"/>
        </w:rPr>
      </w:pPr>
      <w:r>
        <w:rPr>
          <w:lang w:eastAsia="en-US"/>
        </w:rPr>
        <w:t>Biology</w:t>
      </w:r>
    </w:p>
    <w:p w14:paraId="451ED81F" w14:textId="38CB7EDB" w:rsidR="007F5F3E" w:rsidRDefault="007F5F3E" w:rsidP="007F5F3E">
      <w:pPr>
        <w:pStyle w:val="BodyText"/>
        <w:rPr>
          <w:lang w:eastAsia="en-US"/>
        </w:rPr>
      </w:pPr>
      <w:r>
        <w:rPr>
          <w:lang w:eastAsia="en-US"/>
        </w:rPr>
        <w:t xml:space="preserve">Simplified with reference provided where further information can be found. </w:t>
      </w:r>
    </w:p>
    <w:p w14:paraId="3BB89CF0" w14:textId="51559235" w:rsidR="00FD4693" w:rsidRDefault="00FD4693" w:rsidP="00C63EF6">
      <w:pPr>
        <w:pStyle w:val="Heading3"/>
        <w:rPr>
          <w:rFonts w:hint="eastAsia"/>
          <w:lang w:eastAsia="en-US"/>
        </w:rPr>
      </w:pPr>
      <w:r>
        <w:rPr>
          <w:lang w:eastAsia="en-US"/>
        </w:rPr>
        <w:t>Stock status and export approval</w:t>
      </w:r>
    </w:p>
    <w:p w14:paraId="5AD6D085" w14:textId="2C655736" w:rsidR="00FD4693" w:rsidRDefault="00FD4693" w:rsidP="00C63EF6">
      <w:pPr>
        <w:pStyle w:val="BodyText"/>
        <w:rPr>
          <w:lang w:eastAsia="en-US"/>
        </w:rPr>
      </w:pPr>
      <w:r>
        <w:rPr>
          <w:lang w:eastAsia="en-US"/>
        </w:rPr>
        <w:t xml:space="preserve">Updated to refer to </w:t>
      </w:r>
      <w:r w:rsidR="002B4AF2">
        <w:rPr>
          <w:lang w:eastAsia="en-US"/>
        </w:rPr>
        <w:t xml:space="preserve">the </w:t>
      </w:r>
      <w:r>
        <w:rPr>
          <w:lang w:eastAsia="en-US"/>
        </w:rPr>
        <w:t xml:space="preserve">most recent national fish stock status classification and export approval </w:t>
      </w:r>
      <w:r w:rsidR="00C63EF6">
        <w:rPr>
          <w:lang w:eastAsia="en-US"/>
        </w:rPr>
        <w:t xml:space="preserve">for the fishery </w:t>
      </w:r>
      <w:r>
        <w:rPr>
          <w:lang w:eastAsia="en-US"/>
        </w:rPr>
        <w:t xml:space="preserve">under the </w:t>
      </w:r>
      <w:r w:rsidR="00C63EF6" w:rsidRPr="00C63EF6">
        <w:rPr>
          <w:i/>
          <w:lang w:eastAsia="en-US"/>
        </w:rPr>
        <w:t>Environment Protection and Biodiversity Conservation Act 1999</w:t>
      </w:r>
      <w:r w:rsidR="00C63EF6">
        <w:rPr>
          <w:lang w:eastAsia="en-US"/>
        </w:rPr>
        <w:t xml:space="preserve"> until 2025.</w:t>
      </w:r>
    </w:p>
    <w:p w14:paraId="2E6804D4" w14:textId="77777777" w:rsidR="00C63EF6" w:rsidRDefault="00C63EF6" w:rsidP="00C63EF6">
      <w:pPr>
        <w:pStyle w:val="Heading3"/>
        <w:rPr>
          <w:rFonts w:hint="eastAsia"/>
        </w:rPr>
      </w:pPr>
      <w:bookmarkStart w:id="1" w:name="_Ref12971758"/>
      <w:bookmarkStart w:id="2" w:name="_Toc13224773"/>
      <w:r>
        <w:t>Stock assessment and research</w:t>
      </w:r>
      <w:bookmarkEnd w:id="1"/>
      <w:bookmarkEnd w:id="2"/>
    </w:p>
    <w:p w14:paraId="4976FACF" w14:textId="190DF382" w:rsidR="00C63EF6" w:rsidRDefault="00C63EF6" w:rsidP="00C63EF6">
      <w:pPr>
        <w:pStyle w:val="BodyText"/>
        <w:rPr>
          <w:lang w:eastAsia="en-US"/>
        </w:rPr>
      </w:pPr>
      <w:r>
        <w:rPr>
          <w:lang w:eastAsia="en-US"/>
        </w:rPr>
        <w:t>Minor changes to update informat</w:t>
      </w:r>
      <w:r w:rsidR="002B4AF2">
        <w:rPr>
          <w:lang w:eastAsia="en-US"/>
        </w:rPr>
        <w:t>ion in this section.</w:t>
      </w:r>
    </w:p>
    <w:p w14:paraId="1A1FAFE9" w14:textId="6F4EE4B4" w:rsidR="00D350F5" w:rsidRDefault="00D350F5" w:rsidP="00C63EF6">
      <w:pPr>
        <w:pStyle w:val="Heading3"/>
        <w:rPr>
          <w:rFonts w:hint="eastAsia"/>
          <w:lang w:eastAsia="en-US"/>
        </w:rPr>
      </w:pPr>
      <w:r>
        <w:rPr>
          <w:lang w:eastAsia="en-US"/>
        </w:rPr>
        <w:lastRenderedPageBreak/>
        <w:t>Strategic research p</w:t>
      </w:r>
      <w:r w:rsidR="00D016CB">
        <w:rPr>
          <w:lang w:eastAsia="en-US"/>
        </w:rPr>
        <w:t>la</w:t>
      </w:r>
      <w:r>
        <w:rPr>
          <w:lang w:eastAsia="en-US"/>
        </w:rPr>
        <w:t>n</w:t>
      </w:r>
    </w:p>
    <w:p w14:paraId="6EF29289" w14:textId="35854F4C" w:rsidR="00D350F5" w:rsidRPr="00C77ADD" w:rsidRDefault="00C77ADD" w:rsidP="00EB236B">
      <w:pPr>
        <w:pStyle w:val="BodyText"/>
        <w:rPr>
          <w:lang w:eastAsia="en-US"/>
        </w:rPr>
      </w:pPr>
      <w:r w:rsidRPr="00C77ADD">
        <w:rPr>
          <w:lang w:eastAsia="en-US"/>
        </w:rPr>
        <w:t xml:space="preserve">Updated to include </w:t>
      </w:r>
      <w:r>
        <w:rPr>
          <w:lang w:eastAsia="en-US"/>
        </w:rPr>
        <w:t xml:space="preserve">information relating to a strategic research and development plan prepared by the RLFMAC to </w:t>
      </w:r>
      <w:r w:rsidRPr="00FB52E6">
        <w:t>guide its advice on the undertaking of research and development projects for the Northern Zone Rock Lobster Fishery</w:t>
      </w:r>
      <w:r>
        <w:t>.</w:t>
      </w:r>
    </w:p>
    <w:p w14:paraId="0745A80A" w14:textId="78444AB2" w:rsidR="00C63EF6" w:rsidRDefault="00C63EF6" w:rsidP="00C63EF6">
      <w:pPr>
        <w:pStyle w:val="Heading3"/>
        <w:rPr>
          <w:rFonts w:hint="eastAsia"/>
          <w:lang w:eastAsia="en-US"/>
        </w:rPr>
      </w:pPr>
      <w:r>
        <w:rPr>
          <w:lang w:eastAsia="en-US"/>
        </w:rPr>
        <w:t>Economic characteristics</w:t>
      </w:r>
    </w:p>
    <w:p w14:paraId="51B5448D" w14:textId="7D120180" w:rsidR="00C63EF6" w:rsidRPr="00C63EF6" w:rsidRDefault="00A11720" w:rsidP="00C63EF6">
      <w:pPr>
        <w:pStyle w:val="BodyText"/>
        <w:rPr>
          <w:lang w:eastAsia="en-US"/>
        </w:rPr>
      </w:pPr>
      <w:r>
        <w:rPr>
          <w:lang w:eastAsia="en-US"/>
        </w:rPr>
        <w:t>Simplified and u</w:t>
      </w:r>
      <w:r w:rsidR="00C63EF6">
        <w:rPr>
          <w:lang w:eastAsia="en-US"/>
        </w:rPr>
        <w:t>pdated</w:t>
      </w:r>
      <w:r>
        <w:rPr>
          <w:lang w:eastAsia="en-US"/>
        </w:rPr>
        <w:t xml:space="preserve"> with</w:t>
      </w:r>
      <w:r w:rsidR="00C63EF6">
        <w:rPr>
          <w:lang w:eastAsia="en-US"/>
        </w:rPr>
        <w:t xml:space="preserve"> key information and reference to annual reports provided. </w:t>
      </w:r>
    </w:p>
    <w:p w14:paraId="4E5AC231" w14:textId="77777777" w:rsidR="00455134" w:rsidRPr="001D4AD0" w:rsidRDefault="00455134" w:rsidP="00455134">
      <w:pPr>
        <w:pStyle w:val="Heading2"/>
        <w:rPr>
          <w:rFonts w:hint="eastAsia"/>
        </w:rPr>
      </w:pPr>
      <w:bookmarkStart w:id="3" w:name="_Toc514746909"/>
      <w:r w:rsidRPr="001D4AD0">
        <w:t>Co-management arrangements (Section 5)</w:t>
      </w:r>
      <w:bookmarkEnd w:id="3"/>
    </w:p>
    <w:p w14:paraId="60FCEAF5" w14:textId="6526EE2B" w:rsidR="007E7AFB" w:rsidRPr="00455134" w:rsidRDefault="00A11720" w:rsidP="00455134">
      <w:pPr>
        <w:pStyle w:val="BodyText"/>
      </w:pPr>
      <w:r>
        <w:t>Updated to include</w:t>
      </w:r>
      <w:r w:rsidR="00C63EF6">
        <w:t xml:space="preserve"> reference to</w:t>
      </w:r>
      <w:r w:rsidR="007C297C">
        <w:t xml:space="preserve"> the</w:t>
      </w:r>
      <w:r w:rsidR="00C63EF6">
        <w:t xml:space="preserve"> RLFMAC established in 2015 by the South Australian Rock Lobster Advisory Council (SARLAC) to take over the roles and responsibilities of the previous RLFMAC. </w:t>
      </w:r>
    </w:p>
    <w:p w14:paraId="4D0D09FC" w14:textId="77777777" w:rsidR="00455134" w:rsidRPr="001D4AD0" w:rsidRDefault="00455134" w:rsidP="00455134">
      <w:pPr>
        <w:pStyle w:val="Heading2"/>
        <w:rPr>
          <w:rFonts w:hint="eastAsia"/>
        </w:rPr>
      </w:pPr>
      <w:r w:rsidRPr="001D4AD0">
        <w:t>Allocation (Section 6)</w:t>
      </w:r>
    </w:p>
    <w:p w14:paraId="126B5C40" w14:textId="48C262C3" w:rsidR="00C924D6" w:rsidRPr="003D08F4" w:rsidRDefault="00A11720" w:rsidP="00455134">
      <w:pPr>
        <w:pStyle w:val="BodyText"/>
      </w:pPr>
      <w:r>
        <w:t xml:space="preserve">Minor changes and </w:t>
      </w:r>
      <w:r w:rsidR="002B4AF2">
        <w:t>i</w:t>
      </w:r>
      <w:r w:rsidR="00C924D6" w:rsidRPr="003D08F4">
        <w:t xml:space="preserve">ncludes updated recreational catch estimates from the 2013/14 recreational fishing survey. </w:t>
      </w:r>
    </w:p>
    <w:p w14:paraId="287C852A" w14:textId="77777777" w:rsidR="00455134" w:rsidRPr="001D4AD0" w:rsidRDefault="00455134" w:rsidP="00455134">
      <w:pPr>
        <w:pStyle w:val="Heading2"/>
        <w:rPr>
          <w:rFonts w:hint="eastAsia"/>
        </w:rPr>
      </w:pPr>
      <w:r w:rsidRPr="001D4AD0">
        <w:t>Ecosystem impacts (Section 7)</w:t>
      </w:r>
    </w:p>
    <w:p w14:paraId="71E627C4" w14:textId="23AE062E" w:rsidR="00BE7587" w:rsidRPr="00BE7587" w:rsidRDefault="00C924D6" w:rsidP="00BE7587">
      <w:pPr>
        <w:pStyle w:val="BodyText"/>
        <w:rPr>
          <w:rFonts w:cs="Arial"/>
        </w:rPr>
      </w:pPr>
      <w:r>
        <w:rPr>
          <w:rFonts w:cs="Arial"/>
        </w:rPr>
        <w:t xml:space="preserve">Updated to refer to an updated </w:t>
      </w:r>
      <w:r w:rsidR="00BE7587" w:rsidRPr="00BE7587">
        <w:rPr>
          <w:rFonts w:cs="Arial"/>
        </w:rPr>
        <w:t>Ecologically Sustainable Development (ESD) risk assessment</w:t>
      </w:r>
      <w:r>
        <w:rPr>
          <w:rFonts w:cs="Arial"/>
        </w:rPr>
        <w:t xml:space="preserve"> conducted by the RLFMAC in 2018. </w:t>
      </w:r>
    </w:p>
    <w:p w14:paraId="69EA16FC" w14:textId="77777777" w:rsidR="00455134" w:rsidRPr="001D4AD0" w:rsidRDefault="00455134" w:rsidP="00455134">
      <w:pPr>
        <w:pStyle w:val="Heading2"/>
        <w:rPr>
          <w:rFonts w:hint="eastAsia"/>
        </w:rPr>
      </w:pPr>
      <w:r w:rsidRPr="001D4AD0">
        <w:t>Goals and objectives (Section 8)</w:t>
      </w:r>
    </w:p>
    <w:p w14:paraId="5E9072F2" w14:textId="5EF8457B" w:rsidR="00455134" w:rsidRDefault="00455134" w:rsidP="000E2DA9">
      <w:pPr>
        <w:pStyle w:val="BodyText"/>
      </w:pPr>
      <w:r>
        <w:t>Updated reference levels</w:t>
      </w:r>
      <w:r w:rsidR="00943EEA">
        <w:t xml:space="preserve"> included in the table of goals and objectives to be</w:t>
      </w:r>
      <w:r>
        <w:t xml:space="preserve"> consistent with amended </w:t>
      </w:r>
      <w:r w:rsidR="00943EEA">
        <w:t xml:space="preserve">performance indicators included in the proposed </w:t>
      </w:r>
      <w:r>
        <w:t xml:space="preserve">harvest strategy. </w:t>
      </w:r>
    </w:p>
    <w:p w14:paraId="6719E9BC" w14:textId="64642549" w:rsidR="00471C95" w:rsidRDefault="00471C95" w:rsidP="000E2DA9">
      <w:pPr>
        <w:pStyle w:val="BodyText"/>
      </w:pPr>
      <w:r>
        <w:t>Minor amendments to wording of other objectives as recommended by a Management Plan Review Working Group established by the RLFMAC. This working group consisted the Independent Chair of the RLFMAC, Executive Officer from South Eastern Professional Fishermen’s Association</w:t>
      </w:r>
      <w:r w:rsidR="00D164E1">
        <w:t xml:space="preserve"> (SEPFA)</w:t>
      </w:r>
      <w:r>
        <w:t xml:space="preserve">, Executive Officer </w:t>
      </w:r>
      <w:r w:rsidR="007C297C">
        <w:t xml:space="preserve">from </w:t>
      </w:r>
      <w:r>
        <w:t xml:space="preserve">South Australian Northern Zone Rock Lobster Fishermen’s Association </w:t>
      </w:r>
      <w:r w:rsidR="00D164E1">
        <w:t xml:space="preserve">(SANZRLFA) </w:t>
      </w:r>
      <w:r>
        <w:t xml:space="preserve">and PIRSA. </w:t>
      </w:r>
    </w:p>
    <w:p w14:paraId="33340208" w14:textId="796A17D2" w:rsidR="00455134" w:rsidRPr="001D4AD0" w:rsidRDefault="00623888" w:rsidP="00455134">
      <w:pPr>
        <w:pStyle w:val="Heading2"/>
        <w:rPr>
          <w:rFonts w:hint="eastAsia"/>
        </w:rPr>
      </w:pPr>
      <w:r>
        <w:t xml:space="preserve">Draft </w:t>
      </w:r>
      <w:r w:rsidR="00455134" w:rsidRPr="001D4AD0">
        <w:t>Harvest Strategy (Section 9)</w:t>
      </w:r>
    </w:p>
    <w:p w14:paraId="7DCFAE17" w14:textId="2BE1FD9F" w:rsidR="003847C9" w:rsidRPr="009C5A18" w:rsidRDefault="003847C9" w:rsidP="003847C9">
      <w:pPr>
        <w:pStyle w:val="BodyText"/>
        <w:rPr>
          <w:rFonts w:cs="Arial"/>
        </w:rPr>
      </w:pPr>
      <w:r>
        <w:rPr>
          <w:rFonts w:cs="Arial"/>
        </w:rPr>
        <w:t>The draft</w:t>
      </w:r>
      <w:r w:rsidRPr="009C5A18">
        <w:rPr>
          <w:rFonts w:cs="Arial"/>
        </w:rPr>
        <w:t xml:space="preserve"> harvest strategy aims to achieve the following three </w:t>
      </w:r>
      <w:r>
        <w:rPr>
          <w:rFonts w:cs="Arial"/>
        </w:rPr>
        <w:t xml:space="preserve">broad </w:t>
      </w:r>
      <w:r w:rsidRPr="009C5A18">
        <w:rPr>
          <w:rFonts w:cs="Arial"/>
        </w:rPr>
        <w:t>objectives:</w:t>
      </w:r>
    </w:p>
    <w:p w14:paraId="235696E0" w14:textId="77777777" w:rsidR="003847C9" w:rsidRPr="0041229D" w:rsidRDefault="003847C9" w:rsidP="003847C9">
      <w:pPr>
        <w:pStyle w:val="ListBullet"/>
        <w:numPr>
          <w:ilvl w:val="0"/>
          <w:numId w:val="35"/>
        </w:numPr>
      </w:pPr>
      <w:r w:rsidRPr="0041229D">
        <w:t xml:space="preserve">Optimum </w:t>
      </w:r>
      <w:proofErr w:type="spellStart"/>
      <w:r w:rsidRPr="0041229D">
        <w:t>utilisation</w:t>
      </w:r>
      <w:proofErr w:type="spellEnd"/>
      <w:r w:rsidRPr="0041229D">
        <w:t xml:space="preserve"> within ecologically sustainable limits</w:t>
      </w:r>
      <w:r>
        <w:t>;</w:t>
      </w:r>
    </w:p>
    <w:p w14:paraId="4BE6E637" w14:textId="3D4429EC" w:rsidR="003847C9" w:rsidRPr="0041229D" w:rsidRDefault="003847C9" w:rsidP="003847C9">
      <w:pPr>
        <w:pStyle w:val="ListBullet"/>
        <w:numPr>
          <w:ilvl w:val="0"/>
          <w:numId w:val="35"/>
        </w:numPr>
      </w:pPr>
      <w:r w:rsidRPr="0041229D">
        <w:t xml:space="preserve">Improve stock towards levels giving long-term optimum </w:t>
      </w:r>
      <w:proofErr w:type="spellStart"/>
      <w:r w:rsidR="00E45E22">
        <w:t>utilis</w:t>
      </w:r>
      <w:r>
        <w:t>ation</w:t>
      </w:r>
      <w:proofErr w:type="spellEnd"/>
      <w:r>
        <w:t>; and</w:t>
      </w:r>
    </w:p>
    <w:p w14:paraId="741AB9D3" w14:textId="77777777" w:rsidR="003847C9" w:rsidRPr="0041229D" w:rsidRDefault="003847C9" w:rsidP="003847C9">
      <w:pPr>
        <w:pStyle w:val="ListBullet"/>
        <w:numPr>
          <w:ilvl w:val="0"/>
          <w:numId w:val="35"/>
        </w:numPr>
      </w:pPr>
      <w:r>
        <w:lastRenderedPageBreak/>
        <w:t>Avoid stock over-exploitation.</w:t>
      </w:r>
    </w:p>
    <w:p w14:paraId="4057B86E" w14:textId="4669ED00" w:rsidR="003847C9" w:rsidRPr="0041229D" w:rsidRDefault="003847C9" w:rsidP="003847C9">
      <w:pPr>
        <w:pStyle w:val="BodyText"/>
      </w:pPr>
      <w:r w:rsidRPr="0041229D">
        <w:t>The operational objectives of th</w:t>
      </w:r>
      <w:r>
        <w:t>e draft</w:t>
      </w:r>
      <w:r w:rsidRPr="0041229D">
        <w:t xml:space="preserve"> harvest strategy are:</w:t>
      </w:r>
    </w:p>
    <w:p w14:paraId="004B39A5" w14:textId="08E531ED" w:rsidR="003847C9" w:rsidRPr="000C3A8F" w:rsidRDefault="003847C9" w:rsidP="003847C9">
      <w:pPr>
        <w:pStyle w:val="ListBullet"/>
        <w:numPr>
          <w:ilvl w:val="0"/>
          <w:numId w:val="28"/>
        </w:numPr>
      </w:pPr>
      <w:r w:rsidRPr="0041229D">
        <w:t>Increase egg production in the</w:t>
      </w:r>
      <w:r>
        <w:t xml:space="preserve"> Inner Region of the</w:t>
      </w:r>
      <w:r w:rsidRPr="0041229D">
        <w:t xml:space="preserve"> </w:t>
      </w:r>
      <w:r>
        <w:t>Northern</w:t>
      </w:r>
      <w:r w:rsidRPr="0041229D">
        <w:t xml:space="preserve"> Zone Rock Lobster Fishery towards a stock improvement target of 20% unfished egg </w:t>
      </w:r>
      <w:r w:rsidRPr="000C3A8F">
        <w:t>produ</w:t>
      </w:r>
      <w:r w:rsidR="00A26E0A">
        <w:t>ction (%UEP) by 2036;</w:t>
      </w:r>
    </w:p>
    <w:p w14:paraId="60EF0EB6" w14:textId="6404D95E" w:rsidR="003847C9" w:rsidRPr="00726BB9" w:rsidRDefault="003847C9" w:rsidP="003847C9">
      <w:pPr>
        <w:pStyle w:val="ListBullet"/>
        <w:numPr>
          <w:ilvl w:val="0"/>
          <w:numId w:val="28"/>
        </w:numPr>
      </w:pPr>
      <w:r w:rsidRPr="00726BB9">
        <w:t xml:space="preserve">Maintain zonal commercial catch rate (CPUE, November – April) at or </w:t>
      </w:r>
      <w:r>
        <w:t>above</w:t>
      </w:r>
      <w:r w:rsidRPr="00726BB9">
        <w:t xml:space="preserve"> the long term average</w:t>
      </w:r>
      <w:r w:rsidR="00A26E0A">
        <w:t xml:space="preserve"> (2003-2018) of 0.87 kg/</w:t>
      </w:r>
      <w:proofErr w:type="spellStart"/>
      <w:r w:rsidR="00A26E0A">
        <w:t>potlift</w:t>
      </w:r>
      <w:proofErr w:type="spellEnd"/>
      <w:r w:rsidR="00A26E0A">
        <w:t>; and</w:t>
      </w:r>
    </w:p>
    <w:p w14:paraId="5169959B" w14:textId="2C5BA7E0" w:rsidR="003847C9" w:rsidRPr="003847C9" w:rsidRDefault="003847C9" w:rsidP="003847C9">
      <w:pPr>
        <w:pStyle w:val="ListBullet"/>
        <w:numPr>
          <w:ilvl w:val="0"/>
          <w:numId w:val="28"/>
        </w:numPr>
      </w:pPr>
      <w:r w:rsidRPr="00726BB9">
        <w:t>Maintain Outer Region commercial catch rate (CPUE, November – May) at or above the Trigger Reference point of 0.60 kg/</w:t>
      </w:r>
      <w:proofErr w:type="spellStart"/>
      <w:r w:rsidRPr="00726BB9">
        <w:t>potlift</w:t>
      </w:r>
      <w:proofErr w:type="spellEnd"/>
      <w:r w:rsidRPr="00726BB9">
        <w:t>.</w:t>
      </w:r>
    </w:p>
    <w:p w14:paraId="0811FE1F" w14:textId="7CD72400" w:rsidR="005D719C" w:rsidRDefault="005D719C" w:rsidP="003847C9">
      <w:pPr>
        <w:pStyle w:val="BodyText"/>
      </w:pPr>
      <w:r>
        <w:t xml:space="preserve">The new draft NZRLF management plan incorporates </w:t>
      </w:r>
      <w:r w:rsidR="002B4AF2">
        <w:t xml:space="preserve">key </w:t>
      </w:r>
      <w:r>
        <w:t xml:space="preserve">changes and refinements </w:t>
      </w:r>
      <w:r w:rsidR="003847C9">
        <w:t>listed below</w:t>
      </w:r>
      <w:r>
        <w:t>:</w:t>
      </w:r>
    </w:p>
    <w:p w14:paraId="2B7EBB37" w14:textId="4B3F88D5" w:rsidR="004A1DDD" w:rsidRDefault="00A11720" w:rsidP="006D69C7">
      <w:pPr>
        <w:pStyle w:val="ListBullet"/>
      </w:pPr>
      <w:r>
        <w:t xml:space="preserve">Total Allowable Commercial Catch (TACC) is </w:t>
      </w:r>
      <w:r w:rsidR="002B4AF2">
        <w:t>recommended</w:t>
      </w:r>
      <w:r>
        <w:t xml:space="preserve"> separately for each of</w:t>
      </w:r>
      <w:r w:rsidR="003A430E">
        <w:t xml:space="preserve"> two </w:t>
      </w:r>
      <w:r w:rsidR="005D719C">
        <w:t>regions,</w:t>
      </w:r>
      <w:r w:rsidR="004701FE">
        <w:t xml:space="preserve"> the </w:t>
      </w:r>
      <w:r>
        <w:t>I</w:t>
      </w:r>
      <w:r w:rsidR="004701FE">
        <w:t>nner</w:t>
      </w:r>
      <w:r w:rsidR="003A430E">
        <w:t xml:space="preserve"> and </w:t>
      </w:r>
      <w:r>
        <w:t>O</w:t>
      </w:r>
      <w:r w:rsidR="007C297C">
        <w:t>uter R</w:t>
      </w:r>
      <w:r w:rsidR="003A430E">
        <w:t>egion</w:t>
      </w:r>
      <w:r w:rsidR="005D719C">
        <w:t>.</w:t>
      </w:r>
    </w:p>
    <w:p w14:paraId="170D55AC" w14:textId="4A02C4E7" w:rsidR="00044DD2" w:rsidRPr="00044DD2" w:rsidRDefault="00737B09" w:rsidP="006D69C7">
      <w:pPr>
        <w:pStyle w:val="ListBullet"/>
      </w:pPr>
      <w:r>
        <w:t>Raw</w:t>
      </w:r>
      <w:r w:rsidR="00044DD2" w:rsidRPr="00044DD2">
        <w:t xml:space="preserve"> commercial catch rates (CPUE) remains the primary performance indicator for decision rules in the harvest strategy</w:t>
      </w:r>
      <w:r w:rsidR="00A11720">
        <w:t xml:space="preserve"> for both regions</w:t>
      </w:r>
      <w:r>
        <w:t xml:space="preserve">. Catch rate </w:t>
      </w:r>
      <w:r w:rsidR="00A11720">
        <w:t>is calculated separately</w:t>
      </w:r>
      <w:r>
        <w:t xml:space="preserve"> for each region.</w:t>
      </w:r>
      <w:r w:rsidR="00044DD2" w:rsidRPr="00044DD2">
        <w:t xml:space="preserve"> </w:t>
      </w:r>
    </w:p>
    <w:p w14:paraId="32DCF5FA" w14:textId="0A0A97A8" w:rsidR="004A1DDD" w:rsidRDefault="00044DD2" w:rsidP="003847C9">
      <w:pPr>
        <w:pStyle w:val="ListBullet"/>
      </w:pPr>
      <w:r>
        <w:t>T</w:t>
      </w:r>
      <w:r w:rsidR="004701FE">
        <w:t>he secondary indicator, Pre-recruit index</w:t>
      </w:r>
      <w:r>
        <w:t xml:space="preserve"> is </w:t>
      </w:r>
      <w:r w:rsidR="004701FE">
        <w:t xml:space="preserve">only </w:t>
      </w:r>
      <w:r>
        <w:t xml:space="preserve">used in decision rules </w:t>
      </w:r>
      <w:r w:rsidR="00A11720">
        <w:t>related to TACC for</w:t>
      </w:r>
      <w:r w:rsidR="004701FE">
        <w:t xml:space="preserve"> the Inner </w:t>
      </w:r>
      <w:r w:rsidR="00A11720">
        <w:t>Region</w:t>
      </w:r>
      <w:r w:rsidR="004701FE">
        <w:t xml:space="preserve">. </w:t>
      </w:r>
    </w:p>
    <w:p w14:paraId="4B3CEE6D" w14:textId="3CB33617" w:rsidR="00A11720" w:rsidRDefault="002B4AF2" w:rsidP="003847C9">
      <w:pPr>
        <w:pStyle w:val="ListBullet"/>
      </w:pPr>
      <w:r>
        <w:t>Draft</w:t>
      </w:r>
      <w:r w:rsidR="00AE6C7D">
        <w:t xml:space="preserve"> harvest strategy</w:t>
      </w:r>
      <w:r w:rsidR="00A30B5F">
        <w:t xml:space="preserve"> decision rules</w:t>
      </w:r>
      <w:r w:rsidR="00AE6C7D">
        <w:t xml:space="preserve"> </w:t>
      </w:r>
      <w:r w:rsidR="00A30B5F">
        <w:t>incorporate</w:t>
      </w:r>
      <w:r w:rsidR="00AE6C7D">
        <w:t xml:space="preserve"> a conservative</w:t>
      </w:r>
      <w:r w:rsidR="00585D3F">
        <w:t xml:space="preserve"> approach to</w:t>
      </w:r>
      <w:r w:rsidR="00AE6C7D">
        <w:t xml:space="preserve"> </w:t>
      </w:r>
      <w:r w:rsidR="00A30B5F">
        <w:t>TACC</w:t>
      </w:r>
      <w:r w:rsidR="00AE6C7D">
        <w:t xml:space="preserve"> allowing for a maximum TACC of 300 </w:t>
      </w:r>
      <w:proofErr w:type="spellStart"/>
      <w:r w:rsidR="00AE6C7D">
        <w:t>tonnes</w:t>
      </w:r>
      <w:proofErr w:type="spellEnd"/>
      <w:r w:rsidR="00AE6C7D">
        <w:t xml:space="preserve"> for the Inner region and 46</w:t>
      </w:r>
      <w:r>
        <w:t xml:space="preserve"> </w:t>
      </w:r>
      <w:proofErr w:type="spellStart"/>
      <w:r>
        <w:t>tonnes</w:t>
      </w:r>
      <w:proofErr w:type="spellEnd"/>
      <w:r w:rsidR="00AE6C7D">
        <w:t xml:space="preserve"> for the </w:t>
      </w:r>
      <w:r w:rsidR="00737B09">
        <w:t>O</w:t>
      </w:r>
      <w:r w:rsidR="00AE6C7D">
        <w:t>uter</w:t>
      </w:r>
      <w:r>
        <w:t xml:space="preserve"> Region.</w:t>
      </w:r>
    </w:p>
    <w:p w14:paraId="34F56E1C" w14:textId="50D3764B" w:rsidR="00A11720" w:rsidRDefault="007C297C" w:rsidP="003847C9">
      <w:pPr>
        <w:pStyle w:val="ListBullet"/>
      </w:pPr>
      <w:r>
        <w:t>The h</w:t>
      </w:r>
      <w:r w:rsidR="00A11720">
        <w:t xml:space="preserve">arvest strategy </w:t>
      </w:r>
      <w:r w:rsidR="00585D3F">
        <w:t xml:space="preserve">identifies </w:t>
      </w:r>
      <w:r w:rsidR="00AE6C7D">
        <w:t>trigger and limit references points</w:t>
      </w:r>
      <w:r w:rsidR="00A11720">
        <w:t xml:space="preserve"> for both Inner and Outer Region</w:t>
      </w:r>
      <w:r w:rsidR="002B4AF2">
        <w:t>.</w:t>
      </w:r>
    </w:p>
    <w:p w14:paraId="08ABEA14" w14:textId="173E1156" w:rsidR="00AE6C7D" w:rsidRDefault="00A11720" w:rsidP="003847C9">
      <w:pPr>
        <w:pStyle w:val="ListBullet"/>
      </w:pPr>
      <w:r>
        <w:t xml:space="preserve">Reference </w:t>
      </w:r>
      <w:r w:rsidR="003847C9">
        <w:t>points</w:t>
      </w:r>
      <w:r>
        <w:t xml:space="preserve"> for </w:t>
      </w:r>
      <w:r w:rsidR="003847C9">
        <w:t>monitoring</w:t>
      </w:r>
      <w:r>
        <w:t xml:space="preserve"> the performance of the harvest strategy </w:t>
      </w:r>
      <w:r w:rsidR="003847C9">
        <w:t xml:space="preserve">in meeting the identified operational objectives are provided. </w:t>
      </w:r>
    </w:p>
    <w:p w14:paraId="29900255" w14:textId="5B625424" w:rsidR="003847C9" w:rsidRDefault="003847C9" w:rsidP="003847C9">
      <w:pPr>
        <w:pStyle w:val="ListBullet"/>
      </w:pPr>
      <w:r>
        <w:t xml:space="preserve">Reference points for defining stock status </w:t>
      </w:r>
      <w:r w:rsidR="002B4AF2">
        <w:t>are</w:t>
      </w:r>
      <w:r>
        <w:t xml:space="preserve"> included</w:t>
      </w:r>
      <w:r w:rsidR="002B4AF2">
        <w:t>.</w:t>
      </w:r>
    </w:p>
    <w:p w14:paraId="7099EC92" w14:textId="23D4388E" w:rsidR="00756F76" w:rsidRPr="002B4AF2" w:rsidRDefault="002B4AF2" w:rsidP="00842EB6">
      <w:pPr>
        <w:pStyle w:val="ListBullet"/>
        <w:rPr>
          <w:rFonts w:ascii="Arial Bold" w:eastAsiaTheme="majorEastAsia" w:hAnsi="Arial Bold" w:cs="Arial" w:hint="eastAsia"/>
          <w:bCs/>
        </w:rPr>
      </w:pPr>
      <w:r>
        <w:t>Includes a</w:t>
      </w:r>
      <w:r w:rsidR="00756F76">
        <w:t xml:space="preserve"> description of activities to m</w:t>
      </w:r>
      <w:r w:rsidR="00756F76" w:rsidRPr="00756F76">
        <w:t xml:space="preserve">onitor </w:t>
      </w:r>
      <w:r w:rsidR="00756F76">
        <w:t>the fishery during closure and</w:t>
      </w:r>
      <w:r w:rsidR="007C297C">
        <w:t xml:space="preserve"> to</w:t>
      </w:r>
      <w:r w:rsidR="00756F76">
        <w:t xml:space="preserve"> reopen the fishery.</w:t>
      </w:r>
      <w:r w:rsidR="00756F76" w:rsidRPr="002B4AF2">
        <w:rPr>
          <w:rFonts w:cs="Arial" w:hint="eastAsia"/>
        </w:rPr>
        <w:br w:type="page"/>
      </w:r>
    </w:p>
    <w:p w14:paraId="13F75567" w14:textId="05961910" w:rsidR="00A30B5F" w:rsidRDefault="003847C9" w:rsidP="006D69C7">
      <w:pPr>
        <w:pStyle w:val="Heading3"/>
        <w:rPr>
          <w:rFonts w:hint="eastAsia"/>
        </w:rPr>
      </w:pPr>
      <w:r>
        <w:lastRenderedPageBreak/>
        <w:t>Decision Rules</w:t>
      </w:r>
    </w:p>
    <w:p w14:paraId="5B0DF85D" w14:textId="556B6465" w:rsidR="009E280C" w:rsidRPr="003847C9" w:rsidRDefault="009E280C" w:rsidP="003847C9">
      <w:pPr>
        <w:pStyle w:val="BodyText"/>
        <w:rPr>
          <w:u w:val="single"/>
        </w:rPr>
      </w:pPr>
      <w:r w:rsidRPr="003847C9">
        <w:rPr>
          <w:u w:val="single"/>
        </w:rPr>
        <w:t>Inner Region</w:t>
      </w:r>
    </w:p>
    <w:p w14:paraId="45779545" w14:textId="425B4A86" w:rsidR="009E280C" w:rsidRPr="009E280C" w:rsidRDefault="009E280C" w:rsidP="009E280C">
      <w:pPr>
        <w:keepNext/>
        <w:spacing w:after="200"/>
        <w:jc w:val="both"/>
        <w:rPr>
          <w:rFonts w:ascii="Arial Narrow" w:eastAsia="MS Mincho" w:hAnsi="Arial Narrow" w:cs="Times New Roman"/>
          <w:i/>
          <w:iCs/>
          <w:color w:val="1F497D" w:themeColor="text2"/>
          <w:sz w:val="18"/>
          <w:szCs w:val="18"/>
          <w:lang w:val="en-AU"/>
        </w:rPr>
      </w:pPr>
      <w:bookmarkStart w:id="4" w:name="_Ref37243402"/>
      <w:r w:rsidRPr="009E280C">
        <w:rPr>
          <w:rFonts w:ascii="Arial Narrow" w:eastAsia="MS Mincho" w:hAnsi="Arial Narrow" w:cs="Times New Roman"/>
          <w:i/>
          <w:iCs/>
          <w:color w:val="1F497D" w:themeColor="text2"/>
          <w:sz w:val="18"/>
          <w:szCs w:val="18"/>
          <w:lang w:val="en-AU"/>
        </w:rPr>
        <w:t xml:space="preserve">Table </w:t>
      </w:r>
      <w:r w:rsidRPr="009E280C">
        <w:rPr>
          <w:rFonts w:ascii="Arial Narrow" w:eastAsia="MS Mincho" w:hAnsi="Arial Narrow" w:cs="Times New Roman"/>
          <w:i/>
          <w:iCs/>
          <w:color w:val="1F497D" w:themeColor="text2"/>
          <w:sz w:val="18"/>
          <w:szCs w:val="18"/>
          <w:lang w:val="en-AU"/>
        </w:rPr>
        <w:fldChar w:fldCharType="begin"/>
      </w:r>
      <w:r w:rsidRPr="009E280C">
        <w:rPr>
          <w:rFonts w:ascii="Arial Narrow" w:eastAsia="MS Mincho" w:hAnsi="Arial Narrow" w:cs="Times New Roman"/>
          <w:i/>
          <w:iCs/>
          <w:color w:val="1F497D" w:themeColor="text2"/>
          <w:sz w:val="18"/>
          <w:szCs w:val="18"/>
          <w:lang w:val="en-AU"/>
        </w:rPr>
        <w:instrText xml:space="preserve"> SEQ Table \* ARABIC </w:instrText>
      </w:r>
      <w:r w:rsidRPr="009E280C">
        <w:rPr>
          <w:rFonts w:ascii="Arial Narrow" w:eastAsia="MS Mincho" w:hAnsi="Arial Narrow" w:cs="Times New Roman"/>
          <w:i/>
          <w:iCs/>
          <w:color w:val="1F497D" w:themeColor="text2"/>
          <w:sz w:val="18"/>
          <w:szCs w:val="18"/>
          <w:lang w:val="en-AU"/>
        </w:rPr>
        <w:fldChar w:fldCharType="separate"/>
      </w:r>
      <w:r w:rsidR="00756F76">
        <w:rPr>
          <w:rFonts w:ascii="Arial Narrow" w:eastAsia="MS Mincho" w:hAnsi="Arial Narrow" w:cs="Times New Roman"/>
          <w:i/>
          <w:iCs/>
          <w:noProof/>
          <w:color w:val="1F497D" w:themeColor="text2"/>
          <w:sz w:val="18"/>
          <w:szCs w:val="18"/>
          <w:lang w:val="en-AU"/>
        </w:rPr>
        <w:t>1</w:t>
      </w:r>
      <w:r w:rsidRPr="009E280C">
        <w:rPr>
          <w:rFonts w:ascii="Arial Narrow" w:eastAsia="MS Mincho" w:hAnsi="Arial Narrow" w:cs="Times New Roman"/>
          <w:i/>
          <w:iCs/>
          <w:noProof/>
          <w:color w:val="1F497D" w:themeColor="text2"/>
          <w:sz w:val="18"/>
          <w:szCs w:val="18"/>
          <w:lang w:val="en-AU"/>
        </w:rPr>
        <w:fldChar w:fldCharType="end"/>
      </w:r>
      <w:bookmarkEnd w:id="4"/>
      <w:r w:rsidRPr="009E280C">
        <w:rPr>
          <w:rFonts w:ascii="Arial Narrow" w:eastAsia="MS Mincho" w:hAnsi="Arial Narrow" w:cs="Times New Roman"/>
          <w:i/>
          <w:iCs/>
          <w:color w:val="1F497D" w:themeColor="text2"/>
          <w:sz w:val="18"/>
          <w:szCs w:val="18"/>
          <w:lang w:val="en-AU"/>
        </w:rPr>
        <w:t>: Proposed decision rules for TACC for the</w:t>
      </w:r>
      <w:r w:rsidR="003847C9">
        <w:rPr>
          <w:rFonts w:ascii="Arial Narrow" w:eastAsia="MS Mincho" w:hAnsi="Arial Narrow" w:cs="Times New Roman"/>
          <w:i/>
          <w:iCs/>
          <w:color w:val="1F497D" w:themeColor="text2"/>
          <w:sz w:val="18"/>
          <w:szCs w:val="18"/>
          <w:lang w:val="en-AU"/>
        </w:rPr>
        <w:t xml:space="preserve"> Inner</w:t>
      </w:r>
      <w:r w:rsidRPr="009E280C">
        <w:rPr>
          <w:rFonts w:ascii="Arial Narrow" w:eastAsia="MS Mincho" w:hAnsi="Arial Narrow" w:cs="Times New Roman"/>
          <w:i/>
          <w:iCs/>
          <w:color w:val="1F497D" w:themeColor="text2"/>
          <w:sz w:val="18"/>
          <w:szCs w:val="18"/>
          <w:lang w:val="en-AU"/>
        </w:rPr>
        <w:t xml:space="preserve"> Region</w:t>
      </w:r>
    </w:p>
    <w:tbl>
      <w:tblPr>
        <w:tblStyle w:val="Grid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701"/>
      </w:tblGrid>
      <w:tr w:rsidR="009E280C" w:rsidRPr="009E280C" w14:paraId="133FEB0B" w14:textId="77777777" w:rsidTr="002B4AF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shd w:val="clear" w:color="auto" w:fill="00427A"/>
            <w:hideMark/>
          </w:tcPr>
          <w:p w14:paraId="17A648FE" w14:textId="77777777" w:rsidR="009E280C" w:rsidRPr="009E280C" w:rsidRDefault="009E280C" w:rsidP="009E280C">
            <w:pPr>
              <w:autoSpaceDE w:val="0"/>
              <w:autoSpaceDN w:val="0"/>
              <w:spacing w:line="276" w:lineRule="auto"/>
              <w:ind w:left="360"/>
              <w:jc w:val="center"/>
              <w:rPr>
                <w:color w:val="FFFFFF" w:themeColor="background1"/>
                <w:lang w:eastAsia="en-AU"/>
              </w:rPr>
            </w:pPr>
            <w:r w:rsidRPr="009E280C">
              <w:rPr>
                <w:color w:val="FFFFFF" w:themeColor="background1"/>
                <w:lang w:eastAsia="en-AU"/>
              </w:rPr>
              <w:t>Inner region CPUE (kg/</w:t>
            </w:r>
            <w:proofErr w:type="spellStart"/>
            <w:r w:rsidRPr="009E280C">
              <w:rPr>
                <w:color w:val="FFFFFF" w:themeColor="background1"/>
                <w:lang w:eastAsia="en-AU"/>
              </w:rPr>
              <w:t>potlift</w:t>
            </w:r>
            <w:proofErr w:type="spellEnd"/>
            <w:r w:rsidRPr="009E280C">
              <w:rPr>
                <w:color w:val="FFFFFF" w:themeColor="background1"/>
                <w:lang w:eastAsia="en-AU"/>
              </w:rPr>
              <w:t>)</w:t>
            </w:r>
          </w:p>
        </w:tc>
        <w:tc>
          <w:tcPr>
            <w:tcW w:w="1701" w:type="dxa"/>
            <w:tcBorders>
              <w:bottom w:val="none" w:sz="0" w:space="0" w:color="auto"/>
            </w:tcBorders>
            <w:shd w:val="clear" w:color="auto" w:fill="00427A"/>
            <w:hideMark/>
          </w:tcPr>
          <w:p w14:paraId="614AF257" w14:textId="77777777" w:rsidR="009E280C" w:rsidRPr="009E280C" w:rsidRDefault="009E280C" w:rsidP="009E280C">
            <w:pPr>
              <w:autoSpaceDE w:val="0"/>
              <w:autoSpaceDN w:val="0"/>
              <w:spacing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sidRPr="009E280C">
              <w:rPr>
                <w:color w:val="FFFFFF" w:themeColor="background1"/>
                <w:lang w:eastAsia="en-AU"/>
              </w:rPr>
              <w:t>TACC (t)</w:t>
            </w:r>
          </w:p>
        </w:tc>
      </w:tr>
      <w:tr w:rsidR="009E280C" w:rsidRPr="009E280C" w14:paraId="52A30EEB"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tcPr>
          <w:p w14:paraId="1628CD01"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&lt;0.40</w:t>
            </w:r>
          </w:p>
        </w:tc>
        <w:tc>
          <w:tcPr>
            <w:tcW w:w="1701" w:type="dxa"/>
          </w:tcPr>
          <w:p w14:paraId="364D6832"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0</w:t>
            </w:r>
          </w:p>
        </w:tc>
      </w:tr>
      <w:tr w:rsidR="009E280C" w:rsidRPr="009E280C" w14:paraId="61393563"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hideMark/>
          </w:tcPr>
          <w:p w14:paraId="54803585"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0.4-0.44</w:t>
            </w:r>
          </w:p>
        </w:tc>
        <w:tc>
          <w:tcPr>
            <w:tcW w:w="1701" w:type="dxa"/>
            <w:hideMark/>
          </w:tcPr>
          <w:p w14:paraId="55921B96"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17</w:t>
            </w:r>
          </w:p>
        </w:tc>
      </w:tr>
      <w:tr w:rsidR="009E280C" w:rsidRPr="009E280C" w14:paraId="15CBD521"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hideMark/>
          </w:tcPr>
          <w:p w14:paraId="6AC20662"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0.45-0.49</w:t>
            </w:r>
          </w:p>
        </w:tc>
        <w:tc>
          <w:tcPr>
            <w:tcW w:w="1701" w:type="dxa"/>
            <w:hideMark/>
          </w:tcPr>
          <w:p w14:paraId="307BBB43"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52</w:t>
            </w:r>
          </w:p>
        </w:tc>
      </w:tr>
      <w:tr w:rsidR="009E280C" w:rsidRPr="009E280C" w14:paraId="0CCE70C6"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hideMark/>
          </w:tcPr>
          <w:p w14:paraId="47BC1A05"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0.5-0.54</w:t>
            </w:r>
          </w:p>
        </w:tc>
        <w:tc>
          <w:tcPr>
            <w:tcW w:w="1701" w:type="dxa"/>
            <w:hideMark/>
          </w:tcPr>
          <w:p w14:paraId="163F1327"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90</w:t>
            </w:r>
          </w:p>
        </w:tc>
      </w:tr>
      <w:tr w:rsidR="009E280C" w:rsidRPr="009E280C" w14:paraId="47518BC1"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hideMark/>
          </w:tcPr>
          <w:p w14:paraId="66C918D8"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0.55-0.59</w:t>
            </w:r>
          </w:p>
        </w:tc>
        <w:tc>
          <w:tcPr>
            <w:tcW w:w="1701" w:type="dxa"/>
            <w:hideMark/>
          </w:tcPr>
          <w:p w14:paraId="4BCB0A28"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129</w:t>
            </w:r>
          </w:p>
        </w:tc>
      </w:tr>
      <w:tr w:rsidR="009E280C" w:rsidRPr="009E280C" w14:paraId="2FD48680"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hideMark/>
          </w:tcPr>
          <w:p w14:paraId="1E6B422F"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0.6-0.64</w:t>
            </w:r>
          </w:p>
        </w:tc>
        <w:tc>
          <w:tcPr>
            <w:tcW w:w="1701" w:type="dxa"/>
            <w:hideMark/>
          </w:tcPr>
          <w:p w14:paraId="13D6BB1A"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150</w:t>
            </w:r>
          </w:p>
        </w:tc>
      </w:tr>
      <w:tr w:rsidR="009E280C" w:rsidRPr="009E280C" w14:paraId="285E4F5C"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hideMark/>
          </w:tcPr>
          <w:p w14:paraId="07389CDE"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0.65-0.69</w:t>
            </w:r>
          </w:p>
        </w:tc>
        <w:tc>
          <w:tcPr>
            <w:tcW w:w="1701" w:type="dxa"/>
            <w:hideMark/>
          </w:tcPr>
          <w:p w14:paraId="21E6A540"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170</w:t>
            </w:r>
          </w:p>
        </w:tc>
      </w:tr>
      <w:tr w:rsidR="009E280C" w:rsidRPr="009E280C" w14:paraId="1115CB5C"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hideMark/>
          </w:tcPr>
          <w:p w14:paraId="45173E5C"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0.7-0.75</w:t>
            </w:r>
          </w:p>
        </w:tc>
        <w:tc>
          <w:tcPr>
            <w:tcW w:w="1701" w:type="dxa"/>
            <w:hideMark/>
          </w:tcPr>
          <w:p w14:paraId="27C02345"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215</w:t>
            </w:r>
          </w:p>
        </w:tc>
      </w:tr>
      <w:tr w:rsidR="009E280C" w:rsidRPr="009E280C" w14:paraId="646CA5E0"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tcPr>
          <w:p w14:paraId="0C27523B"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0.76-0.79</w:t>
            </w:r>
          </w:p>
        </w:tc>
        <w:tc>
          <w:tcPr>
            <w:tcW w:w="1701" w:type="dxa"/>
          </w:tcPr>
          <w:p w14:paraId="5B8A51B0"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235</w:t>
            </w:r>
          </w:p>
        </w:tc>
      </w:tr>
      <w:tr w:rsidR="009E280C" w:rsidRPr="009E280C" w14:paraId="5109330E" w14:textId="77777777" w:rsidTr="002B4AF2">
        <w:trPr>
          <w:trHeight w:val="166"/>
        </w:trPr>
        <w:tc>
          <w:tcPr>
            <w:cnfStyle w:val="001000000000" w:firstRow="0" w:lastRow="0" w:firstColumn="1" w:lastColumn="0" w:oddVBand="0" w:evenVBand="0" w:oddHBand="0" w:evenHBand="0" w:firstRowFirstColumn="0" w:firstRowLastColumn="0" w:lastRowFirstColumn="0" w:lastRowLastColumn="0"/>
            <w:tcW w:w="2972" w:type="dxa"/>
            <w:hideMark/>
          </w:tcPr>
          <w:p w14:paraId="37247385"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0.8-1.19</w:t>
            </w:r>
          </w:p>
        </w:tc>
        <w:tc>
          <w:tcPr>
            <w:tcW w:w="1701" w:type="dxa"/>
            <w:hideMark/>
          </w:tcPr>
          <w:p w14:paraId="0C70736F"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250</w:t>
            </w:r>
          </w:p>
        </w:tc>
      </w:tr>
      <w:tr w:rsidR="009E280C" w:rsidRPr="009E280C" w14:paraId="365AFFD4"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hideMark/>
          </w:tcPr>
          <w:p w14:paraId="68F86FBC"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1.2-1.99</w:t>
            </w:r>
          </w:p>
        </w:tc>
        <w:tc>
          <w:tcPr>
            <w:tcW w:w="1701" w:type="dxa"/>
            <w:hideMark/>
          </w:tcPr>
          <w:p w14:paraId="1DE35C5C"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275</w:t>
            </w:r>
          </w:p>
        </w:tc>
      </w:tr>
      <w:tr w:rsidR="009E280C" w:rsidRPr="009E280C" w14:paraId="1AB15624"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hideMark/>
          </w:tcPr>
          <w:p w14:paraId="5C1529A7" w14:textId="77777777" w:rsidR="009E280C" w:rsidRPr="009E280C" w:rsidRDefault="009E280C" w:rsidP="009E280C">
            <w:pPr>
              <w:autoSpaceDE w:val="0"/>
              <w:autoSpaceDN w:val="0"/>
              <w:spacing w:line="276" w:lineRule="auto"/>
              <w:jc w:val="center"/>
              <w:rPr>
                <w:color w:val="000000"/>
                <w:lang w:eastAsia="en-AU"/>
              </w:rPr>
            </w:pPr>
            <w:r w:rsidRPr="009E280C">
              <w:rPr>
                <w:rFonts w:cs="Arial"/>
                <w:color w:val="000000"/>
                <w:lang w:eastAsia="en-AU"/>
              </w:rPr>
              <w:t>≥2.0</w:t>
            </w:r>
          </w:p>
        </w:tc>
        <w:tc>
          <w:tcPr>
            <w:tcW w:w="1701" w:type="dxa"/>
            <w:hideMark/>
          </w:tcPr>
          <w:p w14:paraId="32EBCA01"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300</w:t>
            </w:r>
          </w:p>
        </w:tc>
      </w:tr>
    </w:tbl>
    <w:p w14:paraId="3E3A55F9" w14:textId="77777777" w:rsidR="009E280C" w:rsidRPr="009E280C" w:rsidRDefault="009E280C" w:rsidP="009E280C">
      <w:pPr>
        <w:numPr>
          <w:ilvl w:val="0"/>
          <w:numId w:val="30"/>
        </w:numPr>
        <w:spacing w:before="120" w:line="300" w:lineRule="exact"/>
        <w:rPr>
          <w:szCs w:val="24"/>
        </w:rPr>
      </w:pPr>
      <w:bookmarkStart w:id="5" w:name="_Ref8032408"/>
      <w:r w:rsidRPr="009E280C">
        <w:rPr>
          <w:szCs w:val="24"/>
        </w:rPr>
        <w:t xml:space="preserve">PRI rule - A TACC increase will be considered when a CPUE trigger reference point has been reached </w:t>
      </w:r>
      <w:r w:rsidRPr="009E280C">
        <w:rPr>
          <w:szCs w:val="24"/>
          <w:u w:val="single"/>
        </w:rPr>
        <w:t>and</w:t>
      </w:r>
      <w:r w:rsidRPr="009E280C">
        <w:rPr>
          <w:szCs w:val="24"/>
        </w:rPr>
        <w:t xml:space="preserve"> PRI is at or above the trigger reference point.</w:t>
      </w:r>
      <w:bookmarkEnd w:id="5"/>
      <w:r w:rsidRPr="009E280C">
        <w:rPr>
          <w:szCs w:val="24"/>
        </w:rPr>
        <w:t xml:space="preserve"> </w:t>
      </w:r>
    </w:p>
    <w:p w14:paraId="5F00F4BE" w14:textId="77777777" w:rsidR="009E280C" w:rsidRPr="009E280C" w:rsidRDefault="009E280C" w:rsidP="009E280C">
      <w:pPr>
        <w:numPr>
          <w:ilvl w:val="0"/>
          <w:numId w:val="30"/>
        </w:numPr>
        <w:spacing w:before="120" w:line="300" w:lineRule="exact"/>
        <w:rPr>
          <w:szCs w:val="24"/>
        </w:rPr>
      </w:pPr>
      <w:r w:rsidRPr="009E280C">
        <w:rPr>
          <w:szCs w:val="24"/>
        </w:rPr>
        <w:t xml:space="preserve">One-step rule - TACC can increase by only one TACC level in any year regardless of the absolute CPUE estimate. </w:t>
      </w:r>
    </w:p>
    <w:p w14:paraId="42B9FB35" w14:textId="3FF0290F" w:rsidR="009E280C" w:rsidRPr="009E280C" w:rsidRDefault="009E280C" w:rsidP="009E280C">
      <w:pPr>
        <w:numPr>
          <w:ilvl w:val="0"/>
          <w:numId w:val="30"/>
        </w:numPr>
        <w:spacing w:before="120" w:line="300" w:lineRule="exact"/>
        <w:rPr>
          <w:szCs w:val="24"/>
        </w:rPr>
      </w:pPr>
      <w:r w:rsidRPr="009E280C">
        <w:rPr>
          <w:szCs w:val="24"/>
        </w:rPr>
        <w:t xml:space="preserve">Consecutive year rule - A TACC increase under rule 1 will only be considered if there was no TACC increase in the previous season. </w:t>
      </w:r>
    </w:p>
    <w:p w14:paraId="73E70674" w14:textId="2C053AE9" w:rsidR="009E280C" w:rsidRPr="009E280C" w:rsidRDefault="009E280C" w:rsidP="009E280C">
      <w:pPr>
        <w:numPr>
          <w:ilvl w:val="0"/>
          <w:numId w:val="30"/>
        </w:numPr>
        <w:spacing w:before="120" w:line="300" w:lineRule="exact"/>
        <w:rPr>
          <w:szCs w:val="24"/>
        </w:rPr>
      </w:pPr>
      <w:r w:rsidRPr="009E280C">
        <w:rPr>
          <w:szCs w:val="24"/>
        </w:rPr>
        <w:t xml:space="preserve">TACC in the Inner region will be no higher than 250 </w:t>
      </w:r>
      <w:proofErr w:type="spellStart"/>
      <w:r w:rsidRPr="009E280C">
        <w:rPr>
          <w:szCs w:val="24"/>
        </w:rPr>
        <w:t>tonnes</w:t>
      </w:r>
      <w:proofErr w:type="spellEnd"/>
      <w:r w:rsidRPr="009E280C">
        <w:rPr>
          <w:szCs w:val="24"/>
        </w:rPr>
        <w:t xml:space="preserve"> until CPUE exceeds 1.2 kg/</w:t>
      </w:r>
      <w:proofErr w:type="spellStart"/>
      <w:r w:rsidRPr="009E280C">
        <w:rPr>
          <w:szCs w:val="24"/>
        </w:rPr>
        <w:t>potlift</w:t>
      </w:r>
      <w:proofErr w:type="spellEnd"/>
      <w:r w:rsidRPr="009E280C">
        <w:rPr>
          <w:szCs w:val="24"/>
        </w:rPr>
        <w:t xml:space="preserve"> and the PRI rule is satisfied for three consecutive seasons. This rule would only be applied once in the life of the harvest strategy and only to the CPUE band of 0.8 – 1.19 kg/</w:t>
      </w:r>
      <w:proofErr w:type="spellStart"/>
      <w:r w:rsidRPr="009E280C">
        <w:rPr>
          <w:szCs w:val="24"/>
        </w:rPr>
        <w:t>potlift</w:t>
      </w:r>
      <w:proofErr w:type="spellEnd"/>
      <w:r w:rsidRPr="009E280C">
        <w:rPr>
          <w:szCs w:val="24"/>
        </w:rPr>
        <w:t xml:space="preserve">. </w:t>
      </w:r>
    </w:p>
    <w:p w14:paraId="6F0D6F65" w14:textId="59301A84" w:rsidR="009E280C" w:rsidRPr="003847C9" w:rsidRDefault="009E280C" w:rsidP="003847C9">
      <w:pPr>
        <w:pStyle w:val="BodyText"/>
        <w:rPr>
          <w:u w:val="single"/>
        </w:rPr>
      </w:pPr>
      <w:r w:rsidRPr="003847C9">
        <w:rPr>
          <w:u w:val="single"/>
        </w:rPr>
        <w:t>Outer Region</w:t>
      </w:r>
    </w:p>
    <w:p w14:paraId="33E29D23" w14:textId="57B8928C" w:rsidR="003847C9" w:rsidRDefault="003847C9" w:rsidP="003847C9">
      <w:pPr>
        <w:pStyle w:val="Caption"/>
        <w:keepNext/>
      </w:pPr>
      <w:r>
        <w:t xml:space="preserve">Table </w:t>
      </w:r>
      <w:fldSimple w:instr=" SEQ Table \* ARABIC ">
        <w:r w:rsidR="00756F76">
          <w:rPr>
            <w:noProof/>
          </w:rPr>
          <w:t>2</w:t>
        </w:r>
      </w:fldSimple>
      <w:r>
        <w:t xml:space="preserve">: </w:t>
      </w:r>
      <w:r w:rsidRPr="005B2F6B">
        <w:t xml:space="preserve">Proposed decision rules for TACC for the </w:t>
      </w:r>
      <w:r>
        <w:t>Outer</w:t>
      </w:r>
      <w:r w:rsidRPr="005B2F6B">
        <w:t xml:space="preserve"> Region</w:t>
      </w:r>
    </w:p>
    <w:tbl>
      <w:tblPr>
        <w:tblStyle w:val="Grid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701"/>
      </w:tblGrid>
      <w:tr w:rsidR="009E280C" w:rsidRPr="009E280C" w14:paraId="2E425676" w14:textId="77777777" w:rsidTr="002B4AF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shd w:val="clear" w:color="auto" w:fill="00427A"/>
            <w:hideMark/>
          </w:tcPr>
          <w:p w14:paraId="71776990" w14:textId="77777777" w:rsidR="009E280C" w:rsidRPr="009E280C" w:rsidRDefault="009E280C" w:rsidP="009E280C">
            <w:pPr>
              <w:autoSpaceDE w:val="0"/>
              <w:autoSpaceDN w:val="0"/>
              <w:spacing w:line="276" w:lineRule="auto"/>
              <w:jc w:val="center"/>
              <w:rPr>
                <w:color w:val="FFFFFF" w:themeColor="background1"/>
                <w:lang w:eastAsia="en-AU"/>
              </w:rPr>
            </w:pPr>
            <w:r w:rsidRPr="009E280C">
              <w:rPr>
                <w:color w:val="FFFFFF" w:themeColor="background1"/>
                <w:lang w:eastAsia="en-AU"/>
              </w:rPr>
              <w:t>Outer region CPUE (kg/</w:t>
            </w:r>
            <w:proofErr w:type="spellStart"/>
            <w:r w:rsidRPr="009E280C">
              <w:rPr>
                <w:color w:val="FFFFFF" w:themeColor="background1"/>
                <w:lang w:eastAsia="en-AU"/>
              </w:rPr>
              <w:t>potlift</w:t>
            </w:r>
            <w:proofErr w:type="spellEnd"/>
            <w:r w:rsidRPr="009E280C">
              <w:rPr>
                <w:color w:val="FFFFFF" w:themeColor="background1"/>
                <w:lang w:eastAsia="en-AU"/>
              </w:rPr>
              <w:t>)</w:t>
            </w:r>
          </w:p>
        </w:tc>
        <w:tc>
          <w:tcPr>
            <w:tcW w:w="1701" w:type="dxa"/>
            <w:tcBorders>
              <w:bottom w:val="none" w:sz="0" w:space="0" w:color="auto"/>
            </w:tcBorders>
            <w:shd w:val="clear" w:color="auto" w:fill="00427A"/>
            <w:hideMark/>
          </w:tcPr>
          <w:p w14:paraId="0D19B506" w14:textId="77777777" w:rsidR="009E280C" w:rsidRPr="009E280C" w:rsidRDefault="009E280C" w:rsidP="009E280C">
            <w:pPr>
              <w:autoSpaceDE w:val="0"/>
              <w:autoSpaceDN w:val="0"/>
              <w:spacing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sidRPr="009E280C">
              <w:rPr>
                <w:color w:val="FFFFFF" w:themeColor="background1"/>
                <w:lang w:eastAsia="en-AU"/>
              </w:rPr>
              <w:t>TACC (t)</w:t>
            </w:r>
          </w:p>
        </w:tc>
      </w:tr>
      <w:tr w:rsidR="009E280C" w:rsidRPr="009E280C" w14:paraId="7412B586"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tcPr>
          <w:p w14:paraId="41FBB7F2"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&lt;0.40</w:t>
            </w:r>
          </w:p>
        </w:tc>
        <w:tc>
          <w:tcPr>
            <w:tcW w:w="1701" w:type="dxa"/>
          </w:tcPr>
          <w:p w14:paraId="70CC98E6"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0</w:t>
            </w:r>
          </w:p>
        </w:tc>
      </w:tr>
      <w:tr w:rsidR="009E280C" w:rsidRPr="009E280C" w14:paraId="26B739E0"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hideMark/>
          </w:tcPr>
          <w:p w14:paraId="0CCACD32"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0.4-0.44</w:t>
            </w:r>
          </w:p>
        </w:tc>
        <w:tc>
          <w:tcPr>
            <w:tcW w:w="1701" w:type="dxa"/>
            <w:hideMark/>
          </w:tcPr>
          <w:p w14:paraId="5B2E9FD9"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3</w:t>
            </w:r>
          </w:p>
        </w:tc>
      </w:tr>
      <w:tr w:rsidR="009E280C" w:rsidRPr="009E280C" w14:paraId="241C7575"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hideMark/>
          </w:tcPr>
          <w:p w14:paraId="5E340B62"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0.45-0.49</w:t>
            </w:r>
          </w:p>
        </w:tc>
        <w:tc>
          <w:tcPr>
            <w:tcW w:w="1701" w:type="dxa"/>
            <w:hideMark/>
          </w:tcPr>
          <w:p w14:paraId="0DA5939C"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10</w:t>
            </w:r>
          </w:p>
        </w:tc>
      </w:tr>
      <w:tr w:rsidR="009E280C" w:rsidRPr="009E280C" w14:paraId="189B8402"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hideMark/>
          </w:tcPr>
          <w:p w14:paraId="72D2BC4D"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0.5-0.54</w:t>
            </w:r>
          </w:p>
        </w:tc>
        <w:tc>
          <w:tcPr>
            <w:tcW w:w="1701" w:type="dxa"/>
            <w:hideMark/>
          </w:tcPr>
          <w:p w14:paraId="198EDC06"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19</w:t>
            </w:r>
          </w:p>
        </w:tc>
      </w:tr>
      <w:tr w:rsidR="009E280C" w:rsidRPr="009E280C" w14:paraId="128B336C"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hideMark/>
          </w:tcPr>
          <w:p w14:paraId="2124128D"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0.55-0.59</w:t>
            </w:r>
          </w:p>
        </w:tc>
        <w:tc>
          <w:tcPr>
            <w:tcW w:w="1701" w:type="dxa"/>
            <w:hideMark/>
          </w:tcPr>
          <w:p w14:paraId="7FE86C2F"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29</w:t>
            </w:r>
          </w:p>
        </w:tc>
      </w:tr>
      <w:tr w:rsidR="009E280C" w:rsidRPr="009E280C" w14:paraId="08A7E60A"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hideMark/>
          </w:tcPr>
          <w:p w14:paraId="014082E4"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0.6-0.69</w:t>
            </w:r>
          </w:p>
        </w:tc>
        <w:tc>
          <w:tcPr>
            <w:tcW w:w="1701" w:type="dxa"/>
            <w:hideMark/>
          </w:tcPr>
          <w:p w14:paraId="22EA1156"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38</w:t>
            </w:r>
          </w:p>
        </w:tc>
      </w:tr>
      <w:tr w:rsidR="009E280C" w:rsidRPr="009E280C" w14:paraId="08C3C948"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hideMark/>
          </w:tcPr>
          <w:p w14:paraId="2C30CBCA" w14:textId="77777777" w:rsidR="009E280C" w:rsidRPr="009E280C" w:rsidRDefault="009E280C" w:rsidP="009E280C">
            <w:pPr>
              <w:autoSpaceDE w:val="0"/>
              <w:autoSpaceDN w:val="0"/>
              <w:spacing w:line="276" w:lineRule="auto"/>
              <w:jc w:val="center"/>
              <w:rPr>
                <w:color w:val="000000"/>
                <w:lang w:eastAsia="en-AU"/>
              </w:rPr>
            </w:pPr>
            <w:r w:rsidRPr="009E280C">
              <w:rPr>
                <w:color w:val="000000"/>
                <w:lang w:eastAsia="en-AU"/>
              </w:rPr>
              <w:t>0.7-0.79</w:t>
            </w:r>
          </w:p>
        </w:tc>
        <w:tc>
          <w:tcPr>
            <w:tcW w:w="1701" w:type="dxa"/>
            <w:hideMark/>
          </w:tcPr>
          <w:p w14:paraId="6706BE6A"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44</w:t>
            </w:r>
          </w:p>
        </w:tc>
      </w:tr>
      <w:tr w:rsidR="009E280C" w:rsidRPr="009E280C" w14:paraId="07205527" w14:textId="77777777" w:rsidTr="002B4AF2">
        <w:trPr>
          <w:trHeight w:val="290"/>
        </w:trPr>
        <w:tc>
          <w:tcPr>
            <w:cnfStyle w:val="001000000000" w:firstRow="0" w:lastRow="0" w:firstColumn="1" w:lastColumn="0" w:oddVBand="0" w:evenVBand="0" w:oddHBand="0" w:evenHBand="0" w:firstRowFirstColumn="0" w:firstRowLastColumn="0" w:lastRowFirstColumn="0" w:lastRowLastColumn="0"/>
            <w:tcW w:w="2972" w:type="dxa"/>
            <w:hideMark/>
          </w:tcPr>
          <w:p w14:paraId="5A0D8601" w14:textId="77777777" w:rsidR="009E280C" w:rsidRPr="009E280C" w:rsidRDefault="009E280C" w:rsidP="009E280C">
            <w:pPr>
              <w:autoSpaceDE w:val="0"/>
              <w:autoSpaceDN w:val="0"/>
              <w:spacing w:line="276" w:lineRule="auto"/>
              <w:jc w:val="center"/>
              <w:rPr>
                <w:color w:val="000000"/>
                <w:lang w:eastAsia="en-AU"/>
              </w:rPr>
            </w:pPr>
            <w:r w:rsidRPr="009E280C">
              <w:rPr>
                <w:rFonts w:cs="Arial"/>
                <w:color w:val="000000"/>
                <w:lang w:eastAsia="en-AU"/>
              </w:rPr>
              <w:t>≥</w:t>
            </w:r>
            <w:r w:rsidRPr="009E280C">
              <w:rPr>
                <w:color w:val="000000"/>
                <w:lang w:eastAsia="en-AU"/>
              </w:rPr>
              <w:t>0.8</w:t>
            </w:r>
          </w:p>
        </w:tc>
        <w:tc>
          <w:tcPr>
            <w:tcW w:w="1701" w:type="dxa"/>
            <w:hideMark/>
          </w:tcPr>
          <w:p w14:paraId="53DAACB4" w14:textId="77777777" w:rsidR="009E280C" w:rsidRPr="009E280C" w:rsidRDefault="009E280C" w:rsidP="009E280C">
            <w:pPr>
              <w:autoSpaceDE w:val="0"/>
              <w:autoSpaceDN w:val="0"/>
              <w:spacing w:line="276" w:lineRule="auto"/>
              <w:jc w:val="center"/>
              <w:cnfStyle w:val="000000000000" w:firstRow="0" w:lastRow="0" w:firstColumn="0" w:lastColumn="0" w:oddVBand="0" w:evenVBand="0" w:oddHBand="0" w:evenHBand="0" w:firstRowFirstColumn="0" w:firstRowLastColumn="0" w:lastRowFirstColumn="0" w:lastRowLastColumn="0"/>
              <w:rPr>
                <w:color w:val="000000"/>
                <w:lang w:eastAsia="en-AU"/>
              </w:rPr>
            </w:pPr>
            <w:r w:rsidRPr="009E280C">
              <w:rPr>
                <w:color w:val="000000"/>
                <w:lang w:eastAsia="en-AU"/>
              </w:rPr>
              <w:t>46</w:t>
            </w:r>
          </w:p>
        </w:tc>
      </w:tr>
    </w:tbl>
    <w:p w14:paraId="1470FE90" w14:textId="77777777" w:rsidR="009E280C" w:rsidRPr="009E280C" w:rsidRDefault="009E280C" w:rsidP="009E280C">
      <w:pPr>
        <w:numPr>
          <w:ilvl w:val="0"/>
          <w:numId w:val="31"/>
        </w:numPr>
        <w:spacing w:before="120" w:line="300" w:lineRule="exact"/>
        <w:rPr>
          <w:szCs w:val="24"/>
        </w:rPr>
      </w:pPr>
      <w:r w:rsidRPr="009E280C">
        <w:rPr>
          <w:szCs w:val="24"/>
        </w:rPr>
        <w:lastRenderedPageBreak/>
        <w:t xml:space="preserve">One-step rule - TACC can increase by only one level in any year regardless of the absolute CPUE estimate. </w:t>
      </w:r>
    </w:p>
    <w:p w14:paraId="4DE29FC5" w14:textId="77777777" w:rsidR="009E280C" w:rsidRPr="009E280C" w:rsidRDefault="009E280C" w:rsidP="009E280C">
      <w:pPr>
        <w:numPr>
          <w:ilvl w:val="0"/>
          <w:numId w:val="31"/>
        </w:numPr>
        <w:spacing w:before="120" w:line="300" w:lineRule="exact"/>
        <w:rPr>
          <w:szCs w:val="24"/>
        </w:rPr>
      </w:pPr>
      <w:r w:rsidRPr="009E280C">
        <w:rPr>
          <w:szCs w:val="24"/>
        </w:rPr>
        <w:t>Consecutive year rule - A TACC increase will only be considered if there was no TACC increase in the previous season.</w:t>
      </w:r>
    </w:p>
    <w:p w14:paraId="5D8CD9AE" w14:textId="46661FC9" w:rsidR="009E280C" w:rsidRPr="009E280C" w:rsidRDefault="009E280C" w:rsidP="003847C9">
      <w:pPr>
        <w:pStyle w:val="Heading3"/>
        <w:rPr>
          <w:rFonts w:hint="eastAsia"/>
        </w:rPr>
      </w:pPr>
      <w:bookmarkStart w:id="6" w:name="_Toc37241543"/>
      <w:bookmarkStart w:id="7" w:name="_Toc45807714"/>
      <w:r w:rsidRPr="009E280C">
        <w:t>Additional indicators</w:t>
      </w:r>
      <w:bookmarkEnd w:id="6"/>
      <w:bookmarkEnd w:id="7"/>
    </w:p>
    <w:p w14:paraId="7F87DE5F" w14:textId="77777777" w:rsidR="009E280C" w:rsidRPr="009E280C" w:rsidRDefault="009E280C" w:rsidP="003847C9">
      <w:pPr>
        <w:pStyle w:val="BodyText"/>
      </w:pPr>
      <w:r w:rsidRPr="009E280C">
        <w:t xml:space="preserve">Other data and performance measures will be used to assess the fishery but do not trigger explicit TACC adjustments. These include: </w:t>
      </w:r>
    </w:p>
    <w:p w14:paraId="1A6ACD83" w14:textId="77777777" w:rsidR="009E280C" w:rsidRPr="003847C9" w:rsidRDefault="009E280C" w:rsidP="003847C9">
      <w:pPr>
        <w:pStyle w:val="ListBullet"/>
      </w:pPr>
      <w:r w:rsidRPr="003847C9">
        <w:t>% Unfished Egg Production (%UEP)</w:t>
      </w:r>
    </w:p>
    <w:p w14:paraId="0E5ADCC1" w14:textId="77777777" w:rsidR="009E280C" w:rsidRPr="003847C9" w:rsidRDefault="009E280C" w:rsidP="003847C9">
      <w:pPr>
        <w:pStyle w:val="ListBullet"/>
      </w:pPr>
      <w:proofErr w:type="spellStart"/>
      <w:r w:rsidRPr="003847C9">
        <w:t>Puerulus</w:t>
      </w:r>
      <w:proofErr w:type="spellEnd"/>
      <w:r w:rsidRPr="003847C9">
        <w:t xml:space="preserve"> settlement index (PSI) </w:t>
      </w:r>
    </w:p>
    <w:p w14:paraId="4ED39A80" w14:textId="77777777" w:rsidR="009E280C" w:rsidRPr="003847C9" w:rsidRDefault="009E280C" w:rsidP="003847C9">
      <w:pPr>
        <w:pStyle w:val="ListBullet"/>
      </w:pPr>
      <w:r w:rsidRPr="003847C9">
        <w:t xml:space="preserve">Exploitable biomass </w:t>
      </w:r>
    </w:p>
    <w:p w14:paraId="26DAF7CB" w14:textId="77777777" w:rsidR="009E280C" w:rsidRPr="003847C9" w:rsidRDefault="009E280C" w:rsidP="003847C9">
      <w:pPr>
        <w:pStyle w:val="ListBullet"/>
      </w:pPr>
      <w:r w:rsidRPr="003847C9">
        <w:t xml:space="preserve">Levels of exploitation </w:t>
      </w:r>
    </w:p>
    <w:p w14:paraId="3960F1AD" w14:textId="77777777" w:rsidR="009E280C" w:rsidRPr="003847C9" w:rsidRDefault="009E280C" w:rsidP="003847C9">
      <w:pPr>
        <w:pStyle w:val="ListBullet"/>
      </w:pPr>
      <w:r w:rsidRPr="003847C9">
        <w:t>Model estimated recruitment index</w:t>
      </w:r>
    </w:p>
    <w:p w14:paraId="572445E6" w14:textId="77777777" w:rsidR="009E280C" w:rsidRPr="003847C9" w:rsidRDefault="009E280C" w:rsidP="003847C9">
      <w:pPr>
        <w:pStyle w:val="ListBullet"/>
      </w:pPr>
      <w:r w:rsidRPr="003847C9">
        <w:t>Length-frequency data collated from voluntary pot sampling and observer program</w:t>
      </w:r>
    </w:p>
    <w:p w14:paraId="259A7068" w14:textId="77777777" w:rsidR="009E280C" w:rsidRPr="009E280C" w:rsidRDefault="009E280C" w:rsidP="003847C9">
      <w:pPr>
        <w:pStyle w:val="BodyText"/>
        <w:rPr>
          <w:rFonts w:cs="Arial"/>
          <w:u w:val="single"/>
        </w:rPr>
      </w:pPr>
      <w:r w:rsidRPr="009E280C">
        <w:rPr>
          <w:rFonts w:cs="Arial"/>
          <w:u w:val="single"/>
        </w:rPr>
        <w:t>Percentage of unfished egg production</w:t>
      </w:r>
    </w:p>
    <w:p w14:paraId="467AB8BB" w14:textId="58A80533" w:rsidR="009E280C" w:rsidRPr="003847C9" w:rsidRDefault="009E280C" w:rsidP="003847C9">
      <w:pPr>
        <w:pStyle w:val="BodyText"/>
      </w:pPr>
      <w:r w:rsidRPr="003847C9">
        <w:t xml:space="preserve">%UEP = current egg production as a percentage of unfished egg production. Estimated using the </w:t>
      </w:r>
      <w:proofErr w:type="spellStart"/>
      <w:r w:rsidRPr="003847C9">
        <w:t>qR</w:t>
      </w:r>
      <w:proofErr w:type="spellEnd"/>
      <w:r w:rsidRPr="003847C9">
        <w:t xml:space="preserve"> model (McGarvey and Matthews 2001). </w:t>
      </w:r>
    </w:p>
    <w:p w14:paraId="6D0DA57D" w14:textId="77777777" w:rsidR="009E280C" w:rsidRPr="009E280C" w:rsidRDefault="009E280C" w:rsidP="003847C9">
      <w:pPr>
        <w:pStyle w:val="Heading3"/>
        <w:rPr>
          <w:rFonts w:hint="eastAsia"/>
        </w:rPr>
      </w:pPr>
      <w:bookmarkStart w:id="8" w:name="_Toc37241544"/>
      <w:bookmarkStart w:id="9" w:name="_Toc45807715"/>
      <w:r w:rsidRPr="009E280C">
        <w:t>Monitoring</w:t>
      </w:r>
      <w:bookmarkEnd w:id="8"/>
      <w:bookmarkEnd w:id="9"/>
    </w:p>
    <w:p w14:paraId="48C15190" w14:textId="25E321FC" w:rsidR="003847C9" w:rsidRDefault="009E280C" w:rsidP="009E280C">
      <w:pPr>
        <w:spacing w:before="240" w:line="300" w:lineRule="exact"/>
        <w:rPr>
          <w:szCs w:val="24"/>
        </w:rPr>
      </w:pPr>
      <w:r w:rsidRPr="009E280C">
        <w:rPr>
          <w:szCs w:val="24"/>
        </w:rPr>
        <w:t xml:space="preserve">Monitoring of performance of the harvest strategy will be assessed against the objectives of the harvest strategy, including %UEP in the Inner Region. The lowest satisfactory rebuilding trajectory is the estimated %UEP in each year at 20% below a trajectory line between %UEP estimated in 2018 and 22% UEP in 2036. </w:t>
      </w:r>
    </w:p>
    <w:p w14:paraId="159B7DC4" w14:textId="77777777" w:rsidR="00760401" w:rsidRPr="009E280C" w:rsidRDefault="00760401" w:rsidP="009E280C">
      <w:pPr>
        <w:spacing w:before="240" w:line="300" w:lineRule="exact"/>
        <w:rPr>
          <w:szCs w:val="24"/>
        </w:rPr>
      </w:pPr>
    </w:p>
    <w:p w14:paraId="24778F3F" w14:textId="017E2AB4" w:rsidR="009E280C" w:rsidRPr="009E280C" w:rsidRDefault="009E280C" w:rsidP="009E280C">
      <w:pPr>
        <w:keepNext/>
        <w:spacing w:after="200"/>
        <w:jc w:val="both"/>
        <w:rPr>
          <w:rFonts w:ascii="Arial Narrow" w:eastAsia="MS Mincho" w:hAnsi="Arial Narrow" w:cs="Times New Roman"/>
          <w:i/>
          <w:iCs/>
          <w:color w:val="1F497D" w:themeColor="text2"/>
          <w:sz w:val="18"/>
          <w:szCs w:val="18"/>
          <w:lang w:val="en-AU"/>
        </w:rPr>
      </w:pPr>
      <w:bookmarkStart w:id="10" w:name="_Ref15570113"/>
      <w:r w:rsidRPr="009E280C">
        <w:rPr>
          <w:rFonts w:ascii="Arial Narrow" w:eastAsia="MS Mincho" w:hAnsi="Arial Narrow" w:cs="Times New Roman"/>
          <w:i/>
          <w:iCs/>
          <w:color w:val="1F497D" w:themeColor="text2"/>
          <w:sz w:val="18"/>
          <w:szCs w:val="18"/>
          <w:lang w:val="en-AU"/>
        </w:rPr>
        <w:t xml:space="preserve">Table </w:t>
      </w:r>
      <w:r w:rsidRPr="009E280C">
        <w:rPr>
          <w:rFonts w:ascii="Arial Narrow" w:eastAsia="MS Mincho" w:hAnsi="Arial Narrow" w:cs="Times New Roman"/>
          <w:i/>
          <w:iCs/>
          <w:color w:val="1F497D" w:themeColor="text2"/>
          <w:sz w:val="18"/>
          <w:szCs w:val="18"/>
          <w:lang w:val="en-AU"/>
        </w:rPr>
        <w:fldChar w:fldCharType="begin"/>
      </w:r>
      <w:r w:rsidRPr="009E280C">
        <w:rPr>
          <w:rFonts w:ascii="Arial Narrow" w:eastAsia="MS Mincho" w:hAnsi="Arial Narrow" w:cs="Times New Roman"/>
          <w:i/>
          <w:iCs/>
          <w:color w:val="1F497D" w:themeColor="text2"/>
          <w:sz w:val="18"/>
          <w:szCs w:val="18"/>
          <w:lang w:val="en-AU"/>
        </w:rPr>
        <w:instrText xml:space="preserve"> SEQ Table \* ARABIC </w:instrText>
      </w:r>
      <w:r w:rsidRPr="009E280C">
        <w:rPr>
          <w:rFonts w:ascii="Arial Narrow" w:eastAsia="MS Mincho" w:hAnsi="Arial Narrow" w:cs="Times New Roman"/>
          <w:i/>
          <w:iCs/>
          <w:color w:val="1F497D" w:themeColor="text2"/>
          <w:sz w:val="18"/>
          <w:szCs w:val="18"/>
          <w:lang w:val="en-AU"/>
        </w:rPr>
        <w:fldChar w:fldCharType="separate"/>
      </w:r>
      <w:r w:rsidR="00756F76">
        <w:rPr>
          <w:rFonts w:ascii="Arial Narrow" w:eastAsia="MS Mincho" w:hAnsi="Arial Narrow" w:cs="Times New Roman"/>
          <w:i/>
          <w:iCs/>
          <w:noProof/>
          <w:color w:val="1F497D" w:themeColor="text2"/>
          <w:sz w:val="18"/>
          <w:szCs w:val="18"/>
          <w:lang w:val="en-AU"/>
        </w:rPr>
        <w:t>3</w:t>
      </w:r>
      <w:r w:rsidRPr="009E280C">
        <w:rPr>
          <w:rFonts w:ascii="Arial Narrow" w:eastAsia="MS Mincho" w:hAnsi="Arial Narrow" w:cs="Times New Roman"/>
          <w:i/>
          <w:iCs/>
          <w:noProof/>
          <w:color w:val="1F497D" w:themeColor="text2"/>
          <w:sz w:val="18"/>
          <w:szCs w:val="18"/>
          <w:lang w:val="en-AU"/>
        </w:rPr>
        <w:fldChar w:fldCharType="end"/>
      </w:r>
      <w:bookmarkEnd w:id="10"/>
      <w:r w:rsidRPr="009E280C">
        <w:rPr>
          <w:rFonts w:ascii="Arial Narrow" w:eastAsia="MS Mincho" w:hAnsi="Arial Narrow" w:cs="Times New Roman"/>
          <w:i/>
          <w:iCs/>
          <w:color w:val="1F497D" w:themeColor="text2"/>
          <w:sz w:val="18"/>
          <w:szCs w:val="18"/>
          <w:lang w:val="en-AU"/>
        </w:rPr>
        <w:t>: Proposed annual lowest satisfactory rebuilding trajectory</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67"/>
        <w:gridCol w:w="1544"/>
        <w:gridCol w:w="2693"/>
      </w:tblGrid>
      <w:tr w:rsidR="009E280C" w:rsidRPr="009E280C" w14:paraId="5C5D9C03" w14:textId="77777777" w:rsidTr="00F65E17">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271" w:type="dxa"/>
            <w:tcBorders>
              <w:bottom w:val="single" w:sz="4" w:space="0" w:color="auto"/>
            </w:tcBorders>
            <w:shd w:val="clear" w:color="auto" w:fill="00427A"/>
            <w:hideMark/>
          </w:tcPr>
          <w:p w14:paraId="19BF1A4A" w14:textId="77777777" w:rsidR="009E280C" w:rsidRPr="009E280C" w:rsidRDefault="009E280C" w:rsidP="009E280C">
            <w:pPr>
              <w:contextualSpacing/>
            </w:pPr>
            <w:r w:rsidRPr="009E280C">
              <w:t>Season</w:t>
            </w:r>
          </w:p>
        </w:tc>
        <w:tc>
          <w:tcPr>
            <w:tcW w:w="2567" w:type="dxa"/>
            <w:tcBorders>
              <w:bottom w:val="single" w:sz="4" w:space="0" w:color="auto"/>
            </w:tcBorders>
            <w:shd w:val="clear" w:color="auto" w:fill="00427A"/>
            <w:hideMark/>
          </w:tcPr>
          <w:p w14:paraId="5360376A" w14:textId="77777777" w:rsidR="009E280C" w:rsidRPr="009E280C" w:rsidRDefault="009E280C" w:rsidP="009E280C">
            <w:pPr>
              <w:contextualSpacing/>
              <w:cnfStyle w:val="100000000000" w:firstRow="1" w:lastRow="0" w:firstColumn="0" w:lastColumn="0" w:oddVBand="0" w:evenVBand="0" w:oddHBand="0" w:evenHBand="0" w:firstRowFirstColumn="0" w:firstRowLastColumn="0" w:lastRowFirstColumn="0" w:lastRowLastColumn="0"/>
            </w:pPr>
            <w:r w:rsidRPr="009E280C">
              <w:t>Lowest satisfactory rebuilding trajectory</w:t>
            </w:r>
          </w:p>
        </w:tc>
        <w:tc>
          <w:tcPr>
            <w:tcW w:w="1544" w:type="dxa"/>
            <w:tcBorders>
              <w:bottom w:val="single" w:sz="4" w:space="0" w:color="auto"/>
            </w:tcBorders>
            <w:shd w:val="clear" w:color="auto" w:fill="00427A"/>
          </w:tcPr>
          <w:p w14:paraId="2D3AAFA1" w14:textId="77777777" w:rsidR="009E280C" w:rsidRPr="009E280C" w:rsidRDefault="009E280C" w:rsidP="009E280C">
            <w:pPr>
              <w:contextualSpacing/>
              <w:cnfStyle w:val="100000000000" w:firstRow="1" w:lastRow="0" w:firstColumn="0" w:lastColumn="0" w:oddVBand="0" w:evenVBand="0" w:oddHBand="0" w:evenHBand="0" w:firstRowFirstColumn="0" w:firstRowLastColumn="0" w:lastRowFirstColumn="0" w:lastRowLastColumn="0"/>
            </w:pPr>
            <w:r w:rsidRPr="009E280C">
              <w:t>Season</w:t>
            </w:r>
          </w:p>
        </w:tc>
        <w:tc>
          <w:tcPr>
            <w:tcW w:w="2693" w:type="dxa"/>
            <w:tcBorders>
              <w:bottom w:val="single" w:sz="4" w:space="0" w:color="auto"/>
            </w:tcBorders>
            <w:shd w:val="clear" w:color="auto" w:fill="00427A"/>
          </w:tcPr>
          <w:p w14:paraId="3F709053" w14:textId="77777777" w:rsidR="009E280C" w:rsidRPr="009E280C" w:rsidRDefault="009E280C" w:rsidP="009E280C">
            <w:pPr>
              <w:contextualSpacing/>
              <w:cnfStyle w:val="100000000000" w:firstRow="1" w:lastRow="0" w:firstColumn="0" w:lastColumn="0" w:oddVBand="0" w:evenVBand="0" w:oddHBand="0" w:evenHBand="0" w:firstRowFirstColumn="0" w:firstRowLastColumn="0" w:lastRowFirstColumn="0" w:lastRowLastColumn="0"/>
            </w:pPr>
            <w:r w:rsidRPr="009E280C">
              <w:t>Lowest satisfactory rebuilding trajectory</w:t>
            </w:r>
          </w:p>
        </w:tc>
      </w:tr>
      <w:tr w:rsidR="009E280C" w:rsidRPr="009E280C" w14:paraId="6889FB92" w14:textId="77777777" w:rsidTr="00F65E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noWrap/>
          </w:tcPr>
          <w:p w14:paraId="0E371375" w14:textId="77777777" w:rsidR="009E280C" w:rsidRPr="009E280C" w:rsidRDefault="009E280C" w:rsidP="009E280C">
            <w:pPr>
              <w:spacing w:line="360" w:lineRule="auto"/>
              <w:contextualSpacing/>
            </w:pPr>
            <w:r w:rsidRPr="009E280C">
              <w:t>2021/22</w:t>
            </w:r>
          </w:p>
        </w:tc>
        <w:tc>
          <w:tcPr>
            <w:tcW w:w="2567" w:type="dxa"/>
            <w:shd w:val="clear" w:color="auto" w:fill="auto"/>
            <w:noWrap/>
            <w:hideMark/>
          </w:tcPr>
          <w:p w14:paraId="71F22659" w14:textId="77777777" w:rsidR="009E280C" w:rsidRPr="009E280C" w:rsidRDefault="009E280C" w:rsidP="009E280C">
            <w:pPr>
              <w:spacing w:line="360" w:lineRule="auto"/>
              <w:contextualSpacing/>
              <w:cnfStyle w:val="000000100000" w:firstRow="0" w:lastRow="0" w:firstColumn="0" w:lastColumn="0" w:oddVBand="0" w:evenVBand="0" w:oddHBand="1" w:evenHBand="0" w:firstRowFirstColumn="0" w:firstRowLastColumn="0" w:lastRowFirstColumn="0" w:lastRowLastColumn="0"/>
            </w:pPr>
            <w:r w:rsidRPr="009E280C">
              <w:t>8.9%</w:t>
            </w:r>
          </w:p>
        </w:tc>
        <w:tc>
          <w:tcPr>
            <w:tcW w:w="1544" w:type="dxa"/>
            <w:shd w:val="clear" w:color="auto" w:fill="auto"/>
          </w:tcPr>
          <w:p w14:paraId="71B62308" w14:textId="77777777" w:rsidR="009E280C" w:rsidRPr="009E280C" w:rsidRDefault="009E280C" w:rsidP="009E280C">
            <w:pPr>
              <w:spacing w:line="360" w:lineRule="auto"/>
              <w:contextualSpacing/>
              <w:cnfStyle w:val="000000100000" w:firstRow="0" w:lastRow="0" w:firstColumn="0" w:lastColumn="0" w:oddVBand="0" w:evenVBand="0" w:oddHBand="1" w:evenHBand="0" w:firstRowFirstColumn="0" w:firstRowLastColumn="0" w:lastRowFirstColumn="0" w:lastRowLastColumn="0"/>
              <w:rPr>
                <w:b/>
              </w:rPr>
            </w:pPr>
            <w:r w:rsidRPr="009E280C">
              <w:rPr>
                <w:b/>
              </w:rPr>
              <w:t>2029/30</w:t>
            </w:r>
          </w:p>
        </w:tc>
        <w:tc>
          <w:tcPr>
            <w:tcW w:w="2693" w:type="dxa"/>
            <w:shd w:val="clear" w:color="auto" w:fill="auto"/>
          </w:tcPr>
          <w:p w14:paraId="736AF01A" w14:textId="77777777" w:rsidR="009E280C" w:rsidRPr="009E280C" w:rsidRDefault="009E280C" w:rsidP="009E280C">
            <w:pPr>
              <w:spacing w:line="360" w:lineRule="auto"/>
              <w:contextualSpacing/>
              <w:cnfStyle w:val="000000100000" w:firstRow="0" w:lastRow="0" w:firstColumn="0" w:lastColumn="0" w:oddVBand="0" w:evenVBand="0" w:oddHBand="1" w:evenHBand="0" w:firstRowFirstColumn="0" w:firstRowLastColumn="0" w:lastRowFirstColumn="0" w:lastRowLastColumn="0"/>
            </w:pPr>
            <w:r w:rsidRPr="009E280C">
              <w:t>13.5%</w:t>
            </w:r>
          </w:p>
        </w:tc>
      </w:tr>
      <w:tr w:rsidR="009E280C" w:rsidRPr="009E280C" w14:paraId="0589CB9E" w14:textId="77777777" w:rsidTr="00F65E17">
        <w:trPr>
          <w:trHeight w:val="30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noWrap/>
          </w:tcPr>
          <w:p w14:paraId="1085000F" w14:textId="77777777" w:rsidR="009E280C" w:rsidRPr="009E280C" w:rsidRDefault="009E280C" w:rsidP="009E280C">
            <w:pPr>
              <w:spacing w:line="360" w:lineRule="auto"/>
              <w:contextualSpacing/>
            </w:pPr>
            <w:r w:rsidRPr="009E280C">
              <w:t>2022/23</w:t>
            </w:r>
          </w:p>
        </w:tc>
        <w:tc>
          <w:tcPr>
            <w:tcW w:w="2567" w:type="dxa"/>
            <w:shd w:val="clear" w:color="auto" w:fill="auto"/>
            <w:noWrap/>
            <w:hideMark/>
          </w:tcPr>
          <w:p w14:paraId="59600821" w14:textId="77777777" w:rsidR="009E280C" w:rsidRPr="009E280C" w:rsidRDefault="009E280C" w:rsidP="009E280C">
            <w:pPr>
              <w:spacing w:line="360" w:lineRule="auto"/>
              <w:contextualSpacing/>
              <w:cnfStyle w:val="000000000000" w:firstRow="0" w:lastRow="0" w:firstColumn="0" w:lastColumn="0" w:oddVBand="0" w:evenVBand="0" w:oddHBand="0" w:evenHBand="0" w:firstRowFirstColumn="0" w:firstRowLastColumn="0" w:lastRowFirstColumn="0" w:lastRowLastColumn="0"/>
            </w:pPr>
            <w:r w:rsidRPr="009E280C">
              <w:t>9.5%</w:t>
            </w:r>
          </w:p>
        </w:tc>
        <w:tc>
          <w:tcPr>
            <w:tcW w:w="1544" w:type="dxa"/>
            <w:shd w:val="clear" w:color="auto" w:fill="auto"/>
          </w:tcPr>
          <w:p w14:paraId="5424BB2B" w14:textId="77777777" w:rsidR="009E280C" w:rsidRPr="009E280C" w:rsidRDefault="009E280C" w:rsidP="009E280C">
            <w:pPr>
              <w:spacing w:line="360" w:lineRule="auto"/>
              <w:contextualSpacing/>
              <w:cnfStyle w:val="000000000000" w:firstRow="0" w:lastRow="0" w:firstColumn="0" w:lastColumn="0" w:oddVBand="0" w:evenVBand="0" w:oddHBand="0" w:evenHBand="0" w:firstRowFirstColumn="0" w:firstRowLastColumn="0" w:lastRowFirstColumn="0" w:lastRowLastColumn="0"/>
              <w:rPr>
                <w:b/>
              </w:rPr>
            </w:pPr>
            <w:r w:rsidRPr="009E280C">
              <w:rPr>
                <w:b/>
              </w:rPr>
              <w:t>2030/31</w:t>
            </w:r>
          </w:p>
        </w:tc>
        <w:tc>
          <w:tcPr>
            <w:tcW w:w="2693" w:type="dxa"/>
            <w:shd w:val="clear" w:color="auto" w:fill="auto"/>
          </w:tcPr>
          <w:p w14:paraId="202D5104" w14:textId="77777777" w:rsidR="009E280C" w:rsidRPr="009E280C" w:rsidRDefault="009E280C" w:rsidP="009E280C">
            <w:pPr>
              <w:spacing w:line="360" w:lineRule="auto"/>
              <w:contextualSpacing/>
              <w:cnfStyle w:val="000000000000" w:firstRow="0" w:lastRow="0" w:firstColumn="0" w:lastColumn="0" w:oddVBand="0" w:evenVBand="0" w:oddHBand="0" w:evenHBand="0" w:firstRowFirstColumn="0" w:firstRowLastColumn="0" w:lastRowFirstColumn="0" w:lastRowLastColumn="0"/>
            </w:pPr>
            <w:r w:rsidRPr="009E280C">
              <w:t>14.1%</w:t>
            </w:r>
          </w:p>
        </w:tc>
      </w:tr>
      <w:tr w:rsidR="009E280C" w:rsidRPr="009E280C" w14:paraId="2E718C56" w14:textId="77777777" w:rsidTr="00F65E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noWrap/>
          </w:tcPr>
          <w:p w14:paraId="1255129D" w14:textId="77777777" w:rsidR="009E280C" w:rsidRPr="009E280C" w:rsidRDefault="009E280C" w:rsidP="009E280C">
            <w:pPr>
              <w:spacing w:line="360" w:lineRule="auto"/>
              <w:contextualSpacing/>
            </w:pPr>
            <w:r w:rsidRPr="009E280C">
              <w:t>2023/24</w:t>
            </w:r>
          </w:p>
        </w:tc>
        <w:tc>
          <w:tcPr>
            <w:tcW w:w="2567" w:type="dxa"/>
            <w:shd w:val="clear" w:color="auto" w:fill="auto"/>
            <w:noWrap/>
            <w:hideMark/>
          </w:tcPr>
          <w:p w14:paraId="64B7DCF0" w14:textId="77777777" w:rsidR="009E280C" w:rsidRPr="009E280C" w:rsidRDefault="009E280C" w:rsidP="009E280C">
            <w:pPr>
              <w:spacing w:line="360" w:lineRule="auto"/>
              <w:contextualSpacing/>
              <w:cnfStyle w:val="000000100000" w:firstRow="0" w:lastRow="0" w:firstColumn="0" w:lastColumn="0" w:oddVBand="0" w:evenVBand="0" w:oddHBand="1" w:evenHBand="0" w:firstRowFirstColumn="0" w:firstRowLastColumn="0" w:lastRowFirstColumn="0" w:lastRowLastColumn="0"/>
            </w:pPr>
            <w:r w:rsidRPr="009E280C">
              <w:t>10.1%</w:t>
            </w:r>
          </w:p>
        </w:tc>
        <w:tc>
          <w:tcPr>
            <w:tcW w:w="1544" w:type="dxa"/>
            <w:shd w:val="clear" w:color="auto" w:fill="auto"/>
          </w:tcPr>
          <w:p w14:paraId="7CA3BD19" w14:textId="77777777" w:rsidR="009E280C" w:rsidRPr="009E280C" w:rsidRDefault="009E280C" w:rsidP="009E280C">
            <w:pPr>
              <w:spacing w:line="360" w:lineRule="auto"/>
              <w:contextualSpacing/>
              <w:cnfStyle w:val="000000100000" w:firstRow="0" w:lastRow="0" w:firstColumn="0" w:lastColumn="0" w:oddVBand="0" w:evenVBand="0" w:oddHBand="1" w:evenHBand="0" w:firstRowFirstColumn="0" w:firstRowLastColumn="0" w:lastRowFirstColumn="0" w:lastRowLastColumn="0"/>
              <w:rPr>
                <w:b/>
              </w:rPr>
            </w:pPr>
            <w:r w:rsidRPr="009E280C">
              <w:rPr>
                <w:b/>
              </w:rPr>
              <w:t>2031/32</w:t>
            </w:r>
          </w:p>
        </w:tc>
        <w:tc>
          <w:tcPr>
            <w:tcW w:w="2693" w:type="dxa"/>
            <w:shd w:val="clear" w:color="auto" w:fill="auto"/>
          </w:tcPr>
          <w:p w14:paraId="309A6716" w14:textId="77777777" w:rsidR="009E280C" w:rsidRPr="009E280C" w:rsidRDefault="009E280C" w:rsidP="009E280C">
            <w:pPr>
              <w:spacing w:line="360" w:lineRule="auto"/>
              <w:contextualSpacing/>
              <w:cnfStyle w:val="000000100000" w:firstRow="0" w:lastRow="0" w:firstColumn="0" w:lastColumn="0" w:oddVBand="0" w:evenVBand="0" w:oddHBand="1" w:evenHBand="0" w:firstRowFirstColumn="0" w:firstRowLastColumn="0" w:lastRowFirstColumn="0" w:lastRowLastColumn="0"/>
            </w:pPr>
            <w:r w:rsidRPr="009E280C">
              <w:t>14.7%</w:t>
            </w:r>
          </w:p>
        </w:tc>
      </w:tr>
      <w:tr w:rsidR="009E280C" w:rsidRPr="009E280C" w14:paraId="50A9C7CF" w14:textId="77777777" w:rsidTr="00F65E17">
        <w:trPr>
          <w:trHeight w:val="30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noWrap/>
          </w:tcPr>
          <w:p w14:paraId="552194CF" w14:textId="77777777" w:rsidR="009E280C" w:rsidRPr="009E280C" w:rsidRDefault="009E280C" w:rsidP="009E280C">
            <w:pPr>
              <w:spacing w:line="360" w:lineRule="auto"/>
              <w:contextualSpacing/>
            </w:pPr>
            <w:r w:rsidRPr="009E280C">
              <w:t>2024/25</w:t>
            </w:r>
          </w:p>
        </w:tc>
        <w:tc>
          <w:tcPr>
            <w:tcW w:w="2567" w:type="dxa"/>
            <w:shd w:val="clear" w:color="auto" w:fill="auto"/>
            <w:noWrap/>
            <w:hideMark/>
          </w:tcPr>
          <w:p w14:paraId="0456B3AD" w14:textId="77777777" w:rsidR="009E280C" w:rsidRPr="009E280C" w:rsidRDefault="009E280C" w:rsidP="009E280C">
            <w:pPr>
              <w:spacing w:line="360" w:lineRule="auto"/>
              <w:contextualSpacing/>
              <w:cnfStyle w:val="000000000000" w:firstRow="0" w:lastRow="0" w:firstColumn="0" w:lastColumn="0" w:oddVBand="0" w:evenVBand="0" w:oddHBand="0" w:evenHBand="0" w:firstRowFirstColumn="0" w:firstRowLastColumn="0" w:lastRowFirstColumn="0" w:lastRowLastColumn="0"/>
            </w:pPr>
            <w:r w:rsidRPr="009E280C">
              <w:t>10.7%</w:t>
            </w:r>
          </w:p>
        </w:tc>
        <w:tc>
          <w:tcPr>
            <w:tcW w:w="1544" w:type="dxa"/>
            <w:shd w:val="clear" w:color="auto" w:fill="auto"/>
          </w:tcPr>
          <w:p w14:paraId="0D37AB99" w14:textId="77777777" w:rsidR="009E280C" w:rsidRPr="009E280C" w:rsidRDefault="009E280C" w:rsidP="009E280C">
            <w:pPr>
              <w:spacing w:line="360" w:lineRule="auto"/>
              <w:contextualSpacing/>
              <w:cnfStyle w:val="000000000000" w:firstRow="0" w:lastRow="0" w:firstColumn="0" w:lastColumn="0" w:oddVBand="0" w:evenVBand="0" w:oddHBand="0" w:evenHBand="0" w:firstRowFirstColumn="0" w:firstRowLastColumn="0" w:lastRowFirstColumn="0" w:lastRowLastColumn="0"/>
              <w:rPr>
                <w:b/>
              </w:rPr>
            </w:pPr>
            <w:r w:rsidRPr="009E280C">
              <w:rPr>
                <w:b/>
              </w:rPr>
              <w:t>2032/33</w:t>
            </w:r>
          </w:p>
        </w:tc>
        <w:tc>
          <w:tcPr>
            <w:tcW w:w="2693" w:type="dxa"/>
            <w:shd w:val="clear" w:color="auto" w:fill="auto"/>
          </w:tcPr>
          <w:p w14:paraId="2BBEC574" w14:textId="77777777" w:rsidR="009E280C" w:rsidRPr="009E280C" w:rsidRDefault="009E280C" w:rsidP="009E280C">
            <w:pPr>
              <w:spacing w:line="360" w:lineRule="auto"/>
              <w:contextualSpacing/>
              <w:cnfStyle w:val="000000000000" w:firstRow="0" w:lastRow="0" w:firstColumn="0" w:lastColumn="0" w:oddVBand="0" w:evenVBand="0" w:oddHBand="0" w:evenHBand="0" w:firstRowFirstColumn="0" w:firstRowLastColumn="0" w:lastRowFirstColumn="0" w:lastRowLastColumn="0"/>
            </w:pPr>
            <w:r w:rsidRPr="009E280C">
              <w:t>15.3%</w:t>
            </w:r>
          </w:p>
        </w:tc>
      </w:tr>
      <w:tr w:rsidR="009E280C" w:rsidRPr="009E280C" w14:paraId="472104D5" w14:textId="77777777" w:rsidTr="00F65E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noWrap/>
          </w:tcPr>
          <w:p w14:paraId="1C6333C8" w14:textId="77777777" w:rsidR="009E280C" w:rsidRPr="009E280C" w:rsidRDefault="009E280C" w:rsidP="009E280C">
            <w:pPr>
              <w:spacing w:line="360" w:lineRule="auto"/>
              <w:contextualSpacing/>
            </w:pPr>
            <w:r w:rsidRPr="009E280C">
              <w:t>2025/26</w:t>
            </w:r>
          </w:p>
        </w:tc>
        <w:tc>
          <w:tcPr>
            <w:tcW w:w="2567" w:type="dxa"/>
            <w:shd w:val="clear" w:color="auto" w:fill="auto"/>
            <w:noWrap/>
            <w:hideMark/>
          </w:tcPr>
          <w:p w14:paraId="24C6427F" w14:textId="77777777" w:rsidR="009E280C" w:rsidRPr="009E280C" w:rsidRDefault="009E280C" w:rsidP="009E280C">
            <w:pPr>
              <w:spacing w:line="360" w:lineRule="auto"/>
              <w:contextualSpacing/>
              <w:cnfStyle w:val="000000100000" w:firstRow="0" w:lastRow="0" w:firstColumn="0" w:lastColumn="0" w:oddVBand="0" w:evenVBand="0" w:oddHBand="1" w:evenHBand="0" w:firstRowFirstColumn="0" w:firstRowLastColumn="0" w:lastRowFirstColumn="0" w:lastRowLastColumn="0"/>
            </w:pPr>
            <w:r w:rsidRPr="009E280C">
              <w:t>11.2%</w:t>
            </w:r>
          </w:p>
        </w:tc>
        <w:tc>
          <w:tcPr>
            <w:tcW w:w="1544" w:type="dxa"/>
            <w:shd w:val="clear" w:color="auto" w:fill="auto"/>
          </w:tcPr>
          <w:p w14:paraId="64F1B682" w14:textId="77777777" w:rsidR="009E280C" w:rsidRPr="009E280C" w:rsidRDefault="009E280C" w:rsidP="009E280C">
            <w:pPr>
              <w:spacing w:line="360" w:lineRule="auto"/>
              <w:contextualSpacing/>
              <w:cnfStyle w:val="000000100000" w:firstRow="0" w:lastRow="0" w:firstColumn="0" w:lastColumn="0" w:oddVBand="0" w:evenVBand="0" w:oddHBand="1" w:evenHBand="0" w:firstRowFirstColumn="0" w:firstRowLastColumn="0" w:lastRowFirstColumn="0" w:lastRowLastColumn="0"/>
              <w:rPr>
                <w:b/>
              </w:rPr>
            </w:pPr>
            <w:r w:rsidRPr="009E280C">
              <w:rPr>
                <w:b/>
              </w:rPr>
              <w:t>2033/34</w:t>
            </w:r>
          </w:p>
        </w:tc>
        <w:tc>
          <w:tcPr>
            <w:tcW w:w="2693" w:type="dxa"/>
            <w:shd w:val="clear" w:color="auto" w:fill="auto"/>
          </w:tcPr>
          <w:p w14:paraId="27F39828" w14:textId="77777777" w:rsidR="009E280C" w:rsidRPr="009E280C" w:rsidRDefault="009E280C" w:rsidP="009E280C">
            <w:pPr>
              <w:spacing w:line="360" w:lineRule="auto"/>
              <w:contextualSpacing/>
              <w:cnfStyle w:val="000000100000" w:firstRow="0" w:lastRow="0" w:firstColumn="0" w:lastColumn="0" w:oddVBand="0" w:evenVBand="0" w:oddHBand="1" w:evenHBand="0" w:firstRowFirstColumn="0" w:firstRowLastColumn="0" w:lastRowFirstColumn="0" w:lastRowLastColumn="0"/>
            </w:pPr>
            <w:r w:rsidRPr="009E280C">
              <w:t>15.9%</w:t>
            </w:r>
          </w:p>
        </w:tc>
      </w:tr>
      <w:tr w:rsidR="009E280C" w:rsidRPr="009E280C" w14:paraId="310BA15D" w14:textId="77777777" w:rsidTr="00F65E17">
        <w:trPr>
          <w:trHeight w:val="30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noWrap/>
          </w:tcPr>
          <w:p w14:paraId="58C33219" w14:textId="77777777" w:rsidR="009E280C" w:rsidRPr="009E280C" w:rsidRDefault="009E280C" w:rsidP="009E280C">
            <w:pPr>
              <w:spacing w:line="360" w:lineRule="auto"/>
              <w:contextualSpacing/>
            </w:pPr>
            <w:r w:rsidRPr="009E280C">
              <w:t>2026/27</w:t>
            </w:r>
          </w:p>
        </w:tc>
        <w:tc>
          <w:tcPr>
            <w:tcW w:w="2567" w:type="dxa"/>
            <w:shd w:val="clear" w:color="auto" w:fill="auto"/>
            <w:noWrap/>
            <w:hideMark/>
          </w:tcPr>
          <w:p w14:paraId="5365D74D" w14:textId="77777777" w:rsidR="009E280C" w:rsidRPr="009E280C" w:rsidRDefault="009E280C" w:rsidP="009E280C">
            <w:pPr>
              <w:spacing w:line="360" w:lineRule="auto"/>
              <w:contextualSpacing/>
              <w:cnfStyle w:val="000000000000" w:firstRow="0" w:lastRow="0" w:firstColumn="0" w:lastColumn="0" w:oddVBand="0" w:evenVBand="0" w:oddHBand="0" w:evenHBand="0" w:firstRowFirstColumn="0" w:firstRowLastColumn="0" w:lastRowFirstColumn="0" w:lastRowLastColumn="0"/>
            </w:pPr>
            <w:r w:rsidRPr="009E280C">
              <w:t>11.8%</w:t>
            </w:r>
          </w:p>
        </w:tc>
        <w:tc>
          <w:tcPr>
            <w:tcW w:w="1544" w:type="dxa"/>
            <w:shd w:val="clear" w:color="auto" w:fill="auto"/>
          </w:tcPr>
          <w:p w14:paraId="0501863C" w14:textId="77777777" w:rsidR="009E280C" w:rsidRPr="009E280C" w:rsidRDefault="009E280C" w:rsidP="009E280C">
            <w:pPr>
              <w:spacing w:line="360" w:lineRule="auto"/>
              <w:contextualSpacing/>
              <w:cnfStyle w:val="000000000000" w:firstRow="0" w:lastRow="0" w:firstColumn="0" w:lastColumn="0" w:oddVBand="0" w:evenVBand="0" w:oddHBand="0" w:evenHBand="0" w:firstRowFirstColumn="0" w:firstRowLastColumn="0" w:lastRowFirstColumn="0" w:lastRowLastColumn="0"/>
              <w:rPr>
                <w:b/>
              </w:rPr>
            </w:pPr>
            <w:r w:rsidRPr="009E280C">
              <w:rPr>
                <w:b/>
              </w:rPr>
              <w:t>2034/35</w:t>
            </w:r>
          </w:p>
        </w:tc>
        <w:tc>
          <w:tcPr>
            <w:tcW w:w="2693" w:type="dxa"/>
            <w:shd w:val="clear" w:color="auto" w:fill="auto"/>
          </w:tcPr>
          <w:p w14:paraId="2687566F" w14:textId="77777777" w:rsidR="009E280C" w:rsidRPr="009E280C" w:rsidRDefault="009E280C" w:rsidP="009E280C">
            <w:pPr>
              <w:spacing w:line="360" w:lineRule="auto"/>
              <w:contextualSpacing/>
              <w:cnfStyle w:val="000000000000" w:firstRow="0" w:lastRow="0" w:firstColumn="0" w:lastColumn="0" w:oddVBand="0" w:evenVBand="0" w:oddHBand="0" w:evenHBand="0" w:firstRowFirstColumn="0" w:firstRowLastColumn="0" w:lastRowFirstColumn="0" w:lastRowLastColumn="0"/>
            </w:pPr>
            <w:r w:rsidRPr="009E280C">
              <w:t>16.4%</w:t>
            </w:r>
          </w:p>
        </w:tc>
      </w:tr>
      <w:tr w:rsidR="009E280C" w:rsidRPr="009E280C" w14:paraId="7841A3DA" w14:textId="77777777" w:rsidTr="00F65E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noWrap/>
          </w:tcPr>
          <w:p w14:paraId="263A39BD" w14:textId="77777777" w:rsidR="009E280C" w:rsidRPr="009E280C" w:rsidRDefault="009E280C" w:rsidP="009E280C">
            <w:pPr>
              <w:spacing w:line="360" w:lineRule="auto"/>
              <w:contextualSpacing/>
            </w:pPr>
            <w:r w:rsidRPr="009E280C">
              <w:t>2027/28</w:t>
            </w:r>
          </w:p>
        </w:tc>
        <w:tc>
          <w:tcPr>
            <w:tcW w:w="2567" w:type="dxa"/>
            <w:shd w:val="clear" w:color="auto" w:fill="auto"/>
            <w:noWrap/>
            <w:hideMark/>
          </w:tcPr>
          <w:p w14:paraId="22C5D00B" w14:textId="77777777" w:rsidR="009E280C" w:rsidRPr="009E280C" w:rsidRDefault="009E280C" w:rsidP="009E280C">
            <w:pPr>
              <w:spacing w:line="360" w:lineRule="auto"/>
              <w:contextualSpacing/>
              <w:cnfStyle w:val="000000100000" w:firstRow="0" w:lastRow="0" w:firstColumn="0" w:lastColumn="0" w:oddVBand="0" w:evenVBand="0" w:oddHBand="1" w:evenHBand="0" w:firstRowFirstColumn="0" w:firstRowLastColumn="0" w:lastRowFirstColumn="0" w:lastRowLastColumn="0"/>
            </w:pPr>
            <w:r w:rsidRPr="009E280C">
              <w:t>12.4%</w:t>
            </w:r>
          </w:p>
        </w:tc>
        <w:tc>
          <w:tcPr>
            <w:tcW w:w="1544" w:type="dxa"/>
            <w:shd w:val="clear" w:color="auto" w:fill="auto"/>
          </w:tcPr>
          <w:p w14:paraId="19CAFB4F" w14:textId="77777777" w:rsidR="009E280C" w:rsidRPr="009E280C" w:rsidRDefault="009E280C" w:rsidP="009E280C">
            <w:pPr>
              <w:spacing w:line="360" w:lineRule="auto"/>
              <w:contextualSpacing/>
              <w:cnfStyle w:val="000000100000" w:firstRow="0" w:lastRow="0" w:firstColumn="0" w:lastColumn="0" w:oddVBand="0" w:evenVBand="0" w:oddHBand="1" w:evenHBand="0" w:firstRowFirstColumn="0" w:firstRowLastColumn="0" w:lastRowFirstColumn="0" w:lastRowLastColumn="0"/>
              <w:rPr>
                <w:b/>
              </w:rPr>
            </w:pPr>
            <w:r w:rsidRPr="009E280C">
              <w:rPr>
                <w:b/>
              </w:rPr>
              <w:t>2035/36</w:t>
            </w:r>
          </w:p>
        </w:tc>
        <w:tc>
          <w:tcPr>
            <w:tcW w:w="2693" w:type="dxa"/>
            <w:shd w:val="clear" w:color="auto" w:fill="auto"/>
          </w:tcPr>
          <w:p w14:paraId="1B17B9DA" w14:textId="77777777" w:rsidR="009E280C" w:rsidRPr="009E280C" w:rsidRDefault="009E280C" w:rsidP="009E280C">
            <w:pPr>
              <w:spacing w:line="360" w:lineRule="auto"/>
              <w:contextualSpacing/>
              <w:cnfStyle w:val="000000100000" w:firstRow="0" w:lastRow="0" w:firstColumn="0" w:lastColumn="0" w:oddVBand="0" w:evenVBand="0" w:oddHBand="1" w:evenHBand="0" w:firstRowFirstColumn="0" w:firstRowLastColumn="0" w:lastRowFirstColumn="0" w:lastRowLastColumn="0"/>
            </w:pPr>
            <w:r w:rsidRPr="009E280C">
              <w:t>17.0%</w:t>
            </w:r>
          </w:p>
        </w:tc>
      </w:tr>
      <w:tr w:rsidR="009E280C" w:rsidRPr="009E280C" w14:paraId="024D0F84" w14:textId="77777777" w:rsidTr="00F65E17">
        <w:trPr>
          <w:trHeight w:val="300"/>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noWrap/>
          </w:tcPr>
          <w:p w14:paraId="0937E33A" w14:textId="77777777" w:rsidR="009E280C" w:rsidRPr="009E280C" w:rsidRDefault="009E280C" w:rsidP="009E280C">
            <w:pPr>
              <w:spacing w:line="360" w:lineRule="auto"/>
              <w:contextualSpacing/>
            </w:pPr>
            <w:r w:rsidRPr="009E280C">
              <w:t>2028/29</w:t>
            </w:r>
          </w:p>
        </w:tc>
        <w:tc>
          <w:tcPr>
            <w:tcW w:w="2567" w:type="dxa"/>
            <w:shd w:val="clear" w:color="auto" w:fill="auto"/>
            <w:noWrap/>
            <w:hideMark/>
          </w:tcPr>
          <w:p w14:paraId="4014D374" w14:textId="77777777" w:rsidR="009E280C" w:rsidRPr="009E280C" w:rsidRDefault="009E280C" w:rsidP="009E280C">
            <w:pPr>
              <w:spacing w:line="360" w:lineRule="auto"/>
              <w:contextualSpacing/>
              <w:cnfStyle w:val="000000000000" w:firstRow="0" w:lastRow="0" w:firstColumn="0" w:lastColumn="0" w:oddVBand="0" w:evenVBand="0" w:oddHBand="0" w:evenHBand="0" w:firstRowFirstColumn="0" w:firstRowLastColumn="0" w:lastRowFirstColumn="0" w:lastRowLastColumn="0"/>
            </w:pPr>
            <w:r w:rsidRPr="009E280C">
              <w:t>13.0%</w:t>
            </w:r>
          </w:p>
        </w:tc>
        <w:tc>
          <w:tcPr>
            <w:tcW w:w="1544" w:type="dxa"/>
            <w:shd w:val="clear" w:color="auto" w:fill="auto"/>
          </w:tcPr>
          <w:p w14:paraId="7A00E97F" w14:textId="77777777" w:rsidR="009E280C" w:rsidRPr="009E280C" w:rsidRDefault="009E280C" w:rsidP="009E280C">
            <w:pPr>
              <w:spacing w:line="360" w:lineRule="auto"/>
              <w:contextualSpacing/>
              <w:cnfStyle w:val="000000000000" w:firstRow="0" w:lastRow="0" w:firstColumn="0" w:lastColumn="0" w:oddVBand="0" w:evenVBand="0" w:oddHBand="0" w:evenHBand="0" w:firstRowFirstColumn="0" w:firstRowLastColumn="0" w:lastRowFirstColumn="0" w:lastRowLastColumn="0"/>
            </w:pPr>
            <w:r w:rsidRPr="009E280C">
              <w:rPr>
                <w:b/>
              </w:rPr>
              <w:t>2036/2037</w:t>
            </w:r>
          </w:p>
        </w:tc>
        <w:tc>
          <w:tcPr>
            <w:tcW w:w="2693" w:type="dxa"/>
            <w:shd w:val="clear" w:color="auto" w:fill="auto"/>
          </w:tcPr>
          <w:p w14:paraId="100A9D9B" w14:textId="77777777" w:rsidR="009E280C" w:rsidRPr="009E280C" w:rsidRDefault="009E280C" w:rsidP="009E280C">
            <w:pPr>
              <w:spacing w:line="360" w:lineRule="auto"/>
              <w:contextualSpacing/>
              <w:cnfStyle w:val="000000000000" w:firstRow="0" w:lastRow="0" w:firstColumn="0" w:lastColumn="0" w:oddVBand="0" w:evenVBand="0" w:oddHBand="0" w:evenHBand="0" w:firstRowFirstColumn="0" w:firstRowLastColumn="0" w:lastRowFirstColumn="0" w:lastRowLastColumn="0"/>
            </w:pPr>
            <w:r w:rsidRPr="009E280C">
              <w:t>17.6%</w:t>
            </w:r>
          </w:p>
        </w:tc>
      </w:tr>
    </w:tbl>
    <w:p w14:paraId="6158E403" w14:textId="77777777" w:rsidR="009E280C" w:rsidRPr="009E280C" w:rsidRDefault="009E280C" w:rsidP="003847C9">
      <w:pPr>
        <w:pStyle w:val="Heading3"/>
        <w:rPr>
          <w:rFonts w:hint="eastAsia"/>
        </w:rPr>
      </w:pPr>
      <w:bookmarkStart w:id="11" w:name="_Toc37241545"/>
      <w:bookmarkStart w:id="12" w:name="_Toc45807716"/>
      <w:r w:rsidRPr="009E280C">
        <w:lastRenderedPageBreak/>
        <w:t>Stock status classification</w:t>
      </w:r>
      <w:bookmarkEnd w:id="11"/>
      <w:bookmarkEnd w:id="12"/>
    </w:p>
    <w:p w14:paraId="5D543A9A" w14:textId="6992BEE1" w:rsidR="00756F76" w:rsidRDefault="009E280C" w:rsidP="009E280C">
      <w:pPr>
        <w:spacing w:before="240" w:line="300" w:lineRule="exact"/>
        <w:rPr>
          <w:szCs w:val="24"/>
        </w:rPr>
      </w:pPr>
      <w:r w:rsidRPr="009E280C">
        <w:rPr>
          <w:szCs w:val="24"/>
        </w:rPr>
        <w:t xml:space="preserve">The primary performance indicator used in the harvest strategy, nominal zonal CPUE, will also be </w:t>
      </w:r>
      <w:proofErr w:type="spellStart"/>
      <w:r w:rsidRPr="009E280C">
        <w:rPr>
          <w:szCs w:val="24"/>
        </w:rPr>
        <w:t>utilised</w:t>
      </w:r>
      <w:proofErr w:type="spellEnd"/>
      <w:r w:rsidRPr="009E280C">
        <w:rPr>
          <w:szCs w:val="24"/>
        </w:rPr>
        <w:t xml:space="preserve"> for determining the stock status as described </w:t>
      </w:r>
      <w:r w:rsidR="00A30B5F">
        <w:rPr>
          <w:szCs w:val="24"/>
        </w:rPr>
        <w:t>below</w:t>
      </w:r>
      <w:r w:rsidRPr="009E280C">
        <w:rPr>
          <w:szCs w:val="24"/>
        </w:rPr>
        <w:t xml:space="preserve">. </w:t>
      </w:r>
      <w:bookmarkStart w:id="13" w:name="_Ref15569722"/>
    </w:p>
    <w:p w14:paraId="3DB1B1F4" w14:textId="77777777" w:rsidR="00760401" w:rsidRPr="009E280C" w:rsidRDefault="00760401" w:rsidP="009E280C">
      <w:pPr>
        <w:spacing w:before="240" w:line="300" w:lineRule="exact"/>
        <w:rPr>
          <w:szCs w:val="24"/>
        </w:rPr>
      </w:pPr>
    </w:p>
    <w:p w14:paraId="7646B5EC" w14:textId="085EBA7C" w:rsidR="00756F76" w:rsidRDefault="00756F76" w:rsidP="00756F76">
      <w:pPr>
        <w:pStyle w:val="Caption"/>
        <w:keepNext/>
      </w:pPr>
      <w:r>
        <w:t xml:space="preserve">Table </w:t>
      </w:r>
      <w:fldSimple w:instr=" SEQ Table \* ARABIC ">
        <w:r>
          <w:rPr>
            <w:noProof/>
          </w:rPr>
          <w:t>4</w:t>
        </w:r>
      </w:fldSimple>
      <w:r>
        <w:t>: Stock Status Classification</w:t>
      </w:r>
    </w:p>
    <w:tbl>
      <w:tblPr>
        <w:tblStyle w:val="TableGrid"/>
        <w:tblW w:w="0" w:type="auto"/>
        <w:tblLook w:val="04A0" w:firstRow="1" w:lastRow="0" w:firstColumn="1" w:lastColumn="0" w:noHBand="0" w:noVBand="1"/>
      </w:tblPr>
      <w:tblGrid>
        <w:gridCol w:w="3681"/>
        <w:gridCol w:w="3402"/>
      </w:tblGrid>
      <w:tr w:rsidR="009E280C" w:rsidRPr="009E280C" w14:paraId="14FFA1CE" w14:textId="77777777" w:rsidTr="00F65E17">
        <w:tc>
          <w:tcPr>
            <w:tcW w:w="3681" w:type="dxa"/>
            <w:shd w:val="clear" w:color="auto" w:fill="00427A"/>
          </w:tcPr>
          <w:bookmarkEnd w:id="13"/>
          <w:p w14:paraId="5BB944A5" w14:textId="77777777" w:rsidR="009E280C" w:rsidRPr="009E280C" w:rsidRDefault="009E280C" w:rsidP="009E280C">
            <w:r w:rsidRPr="009E280C">
              <w:t xml:space="preserve">Zonal Commercial Catch Rate </w:t>
            </w:r>
          </w:p>
        </w:tc>
        <w:tc>
          <w:tcPr>
            <w:tcW w:w="3402" w:type="dxa"/>
            <w:shd w:val="clear" w:color="auto" w:fill="00427A"/>
          </w:tcPr>
          <w:p w14:paraId="6D8B5318" w14:textId="77777777" w:rsidR="009E280C" w:rsidRPr="009E280C" w:rsidRDefault="009E280C" w:rsidP="009E280C">
            <w:r w:rsidRPr="009E280C">
              <w:t>Status</w:t>
            </w:r>
          </w:p>
        </w:tc>
      </w:tr>
      <w:tr w:rsidR="009E280C" w:rsidRPr="009E280C" w14:paraId="0D10D397" w14:textId="77777777" w:rsidTr="00F65E17">
        <w:tc>
          <w:tcPr>
            <w:tcW w:w="3681" w:type="dxa"/>
            <w:shd w:val="clear" w:color="auto" w:fill="FFFFFF" w:themeFill="background1"/>
          </w:tcPr>
          <w:p w14:paraId="2DEF0679" w14:textId="77777777" w:rsidR="009E280C" w:rsidRPr="009E280C" w:rsidRDefault="009E280C" w:rsidP="009E280C">
            <w:r w:rsidRPr="009E280C">
              <w:rPr>
                <w:rFonts w:cs="Arial"/>
              </w:rPr>
              <w:t xml:space="preserve">≥ 0.6 </w:t>
            </w:r>
            <w:r w:rsidRPr="009E280C">
              <w:t>kg/</w:t>
            </w:r>
            <w:proofErr w:type="spellStart"/>
            <w:r w:rsidRPr="009E280C">
              <w:t>potlift</w:t>
            </w:r>
            <w:proofErr w:type="spellEnd"/>
          </w:p>
        </w:tc>
        <w:tc>
          <w:tcPr>
            <w:tcW w:w="3402" w:type="dxa"/>
            <w:shd w:val="clear" w:color="auto" w:fill="FFFFFF" w:themeFill="background1"/>
          </w:tcPr>
          <w:p w14:paraId="45D810FF" w14:textId="77777777" w:rsidR="009E280C" w:rsidRPr="009E280C" w:rsidRDefault="009E280C" w:rsidP="009E280C">
            <w:r w:rsidRPr="009E280C">
              <w:t>Sustainable</w:t>
            </w:r>
          </w:p>
        </w:tc>
      </w:tr>
      <w:tr w:rsidR="009E280C" w:rsidRPr="009E280C" w14:paraId="4C290B1B" w14:textId="77777777" w:rsidTr="00F65E17">
        <w:tc>
          <w:tcPr>
            <w:tcW w:w="3681" w:type="dxa"/>
            <w:shd w:val="clear" w:color="auto" w:fill="FFFFFF" w:themeFill="background1"/>
          </w:tcPr>
          <w:p w14:paraId="5992103C" w14:textId="77777777" w:rsidR="009E280C" w:rsidRPr="009E280C" w:rsidRDefault="009E280C" w:rsidP="009E280C">
            <w:r w:rsidRPr="009E280C">
              <w:rPr>
                <w:rFonts w:cs="Arial"/>
              </w:rPr>
              <w:t xml:space="preserve">&lt; </w:t>
            </w:r>
            <w:r w:rsidRPr="009E280C">
              <w:t>0.6 kg/</w:t>
            </w:r>
            <w:proofErr w:type="spellStart"/>
            <w:r w:rsidRPr="009E280C">
              <w:t>potlift</w:t>
            </w:r>
            <w:proofErr w:type="spellEnd"/>
          </w:p>
        </w:tc>
        <w:tc>
          <w:tcPr>
            <w:tcW w:w="3402" w:type="dxa"/>
            <w:shd w:val="clear" w:color="auto" w:fill="FFFFFF" w:themeFill="background1"/>
          </w:tcPr>
          <w:p w14:paraId="5385B978" w14:textId="77777777" w:rsidR="009E280C" w:rsidRPr="009E280C" w:rsidRDefault="009E280C" w:rsidP="009E280C">
            <w:r w:rsidRPr="009E280C">
              <w:t>Depleting or Recovering</w:t>
            </w:r>
          </w:p>
        </w:tc>
      </w:tr>
      <w:tr w:rsidR="009E280C" w:rsidRPr="009E280C" w14:paraId="4E4CF998" w14:textId="77777777" w:rsidTr="00F65E17">
        <w:tc>
          <w:tcPr>
            <w:tcW w:w="3681" w:type="dxa"/>
            <w:shd w:val="clear" w:color="auto" w:fill="FFFFFF" w:themeFill="background1"/>
          </w:tcPr>
          <w:p w14:paraId="5D9BF4D5" w14:textId="77777777" w:rsidR="009E280C" w:rsidRPr="009E280C" w:rsidRDefault="009E280C" w:rsidP="009E280C">
            <w:r w:rsidRPr="009E280C">
              <w:rPr>
                <w:rFonts w:cs="Arial"/>
              </w:rPr>
              <w:t>≤</w:t>
            </w:r>
            <w:r w:rsidRPr="009E280C">
              <w:t xml:space="preserve"> 0.4  kg/</w:t>
            </w:r>
            <w:proofErr w:type="spellStart"/>
            <w:r w:rsidRPr="009E280C">
              <w:t>potlift</w:t>
            </w:r>
            <w:proofErr w:type="spellEnd"/>
          </w:p>
        </w:tc>
        <w:tc>
          <w:tcPr>
            <w:tcW w:w="3402" w:type="dxa"/>
            <w:shd w:val="clear" w:color="auto" w:fill="FFFFFF" w:themeFill="background1"/>
          </w:tcPr>
          <w:p w14:paraId="430C6A0B" w14:textId="77777777" w:rsidR="009E280C" w:rsidRPr="009E280C" w:rsidRDefault="009E280C" w:rsidP="009E280C">
            <w:r w:rsidRPr="009E280C">
              <w:t>Depleted</w:t>
            </w:r>
          </w:p>
        </w:tc>
      </w:tr>
    </w:tbl>
    <w:p w14:paraId="2FC9BAB9" w14:textId="5B2B87CE" w:rsidR="00F026A7" w:rsidRDefault="00F026A7" w:rsidP="001B0E6E">
      <w:pPr>
        <w:pStyle w:val="Heading3"/>
        <w:rPr>
          <w:rFonts w:hint="eastAsia"/>
        </w:rPr>
      </w:pPr>
      <w:bookmarkStart w:id="14" w:name="_Toc514746913"/>
      <w:r>
        <w:t>Review of the harvest strategy</w:t>
      </w:r>
    </w:p>
    <w:p w14:paraId="059B8AC0" w14:textId="07C6AD44" w:rsidR="00F026A7" w:rsidRDefault="00F026A7" w:rsidP="002B5791">
      <w:pPr>
        <w:pStyle w:val="BodyText"/>
      </w:pPr>
      <w:r>
        <w:t>A review of the harvest strategy would be considered if %UEP is below acceptable levels of rebuilding described in the harvest strategy for two consecutive years</w:t>
      </w:r>
      <w:r w:rsidR="001B0E6E">
        <w:t xml:space="preserve">. </w:t>
      </w:r>
      <w:r>
        <w:t xml:space="preserve"> </w:t>
      </w:r>
    </w:p>
    <w:p w14:paraId="6BF1C857" w14:textId="155B98CF" w:rsidR="00756F76" w:rsidRPr="00F55316" w:rsidRDefault="00756F76" w:rsidP="002B5791">
      <w:pPr>
        <w:pStyle w:val="BodyText"/>
      </w:pPr>
      <w:r>
        <w:t xml:space="preserve">During the life of </w:t>
      </w:r>
      <w:r w:rsidR="002B4AF2">
        <w:t>the</w:t>
      </w:r>
      <w:r>
        <w:t xml:space="preserve"> harvest strategy a</w:t>
      </w:r>
      <w:r w:rsidRPr="005F3077">
        <w:t xml:space="preserve">nnual estimates of CPUE may be </w:t>
      </w:r>
      <w:proofErr w:type="spellStart"/>
      <w:r w:rsidRPr="005F3077">
        <w:t>standardised</w:t>
      </w:r>
      <w:proofErr w:type="spellEnd"/>
      <w:r w:rsidRPr="005F3077">
        <w:t xml:space="preserve"> to account for changes in fishing </w:t>
      </w:r>
      <w:proofErr w:type="spellStart"/>
      <w:r w:rsidRPr="005F3077">
        <w:t>behaviour</w:t>
      </w:r>
      <w:proofErr w:type="spellEnd"/>
      <w:r w:rsidRPr="005F3077">
        <w:t xml:space="preserve"> that significa</w:t>
      </w:r>
      <w:r>
        <w:t>n</w:t>
      </w:r>
      <w:r w:rsidRPr="005F3077">
        <w:t>tly influence the annual catch rates estimates.</w:t>
      </w:r>
      <w:r>
        <w:t xml:space="preserve"> If this </w:t>
      </w:r>
      <w:proofErr w:type="spellStart"/>
      <w:r>
        <w:t>standardisation</w:t>
      </w:r>
      <w:proofErr w:type="spellEnd"/>
      <w:r>
        <w:t xml:space="preserve"> is completed, PIRSA with advice of the established consultative group, may recommend amendments to the Harvest Strategy under section 46 of the </w:t>
      </w:r>
      <w:r w:rsidRPr="00983AF4">
        <w:rPr>
          <w:i/>
        </w:rPr>
        <w:t>Fisheries Management Act 2007</w:t>
      </w:r>
      <w:r w:rsidR="00F55316">
        <w:t>.</w:t>
      </w:r>
    </w:p>
    <w:p w14:paraId="5B90D00F" w14:textId="696DCCCE" w:rsidR="00455134" w:rsidRPr="001D4AD0" w:rsidRDefault="00455134" w:rsidP="00303405">
      <w:pPr>
        <w:pStyle w:val="Heading2"/>
        <w:rPr>
          <w:rFonts w:hint="eastAsia"/>
        </w:rPr>
      </w:pPr>
      <w:r w:rsidRPr="001D4AD0">
        <w:t>Compliance and monitoring (Section 1</w:t>
      </w:r>
      <w:r w:rsidR="008D2D82">
        <w:t>0</w:t>
      </w:r>
      <w:r w:rsidRPr="001D4AD0">
        <w:t>)</w:t>
      </w:r>
    </w:p>
    <w:p w14:paraId="47FEFCA5" w14:textId="3F2BE506" w:rsidR="00455134" w:rsidRDefault="00756F76" w:rsidP="00455134">
      <w:pPr>
        <w:pStyle w:val="BodyText"/>
      </w:pPr>
      <w:r>
        <w:t>Simplified</w:t>
      </w:r>
      <w:r w:rsidR="004C2B96">
        <w:t>.</w:t>
      </w:r>
    </w:p>
    <w:bookmarkEnd w:id="14"/>
    <w:p w14:paraId="5DDFB3FD" w14:textId="347E9EBE" w:rsidR="008D2D82" w:rsidRDefault="008D2D82" w:rsidP="008D2D82">
      <w:pPr>
        <w:pStyle w:val="Heading2"/>
        <w:rPr>
          <w:rFonts w:hint="eastAsia"/>
        </w:rPr>
      </w:pPr>
      <w:r>
        <w:t>Resources required to implement the plan (Section 11)</w:t>
      </w:r>
    </w:p>
    <w:p w14:paraId="6A08D550" w14:textId="574CA560" w:rsidR="008D2D82" w:rsidRDefault="00756F76" w:rsidP="008D2D82">
      <w:pPr>
        <w:pStyle w:val="BodyText"/>
      </w:pPr>
      <w:r>
        <w:t>Simplified</w:t>
      </w:r>
      <w:r w:rsidR="004C2B96">
        <w:t>.</w:t>
      </w:r>
    </w:p>
    <w:p w14:paraId="0AE49736" w14:textId="7C475457" w:rsidR="00755BF1" w:rsidRDefault="00755BF1" w:rsidP="00755BF1">
      <w:pPr>
        <w:pStyle w:val="Heading2"/>
        <w:rPr>
          <w:rFonts w:hint="eastAsia"/>
        </w:rPr>
      </w:pPr>
      <w:r>
        <w:t>Review of Plan</w:t>
      </w:r>
      <w:r w:rsidRPr="001D4AD0">
        <w:t xml:space="preserve"> (Section 1</w:t>
      </w:r>
      <w:r w:rsidR="001B0E6E">
        <w:t>2</w:t>
      </w:r>
      <w:r w:rsidRPr="001D4AD0">
        <w:t>)</w:t>
      </w:r>
    </w:p>
    <w:p w14:paraId="723D9CB5" w14:textId="6B8A119E" w:rsidR="00755BF1" w:rsidRDefault="00756F76" w:rsidP="00755BF1">
      <w:pPr>
        <w:pStyle w:val="BodyText"/>
      </w:pPr>
      <w:r>
        <w:t xml:space="preserve">Sets out requirements to review management plans described in Section 46 and 49 of the </w:t>
      </w:r>
      <w:r w:rsidRPr="00756F76">
        <w:rPr>
          <w:i/>
        </w:rPr>
        <w:t>Fisheries Management Act 2007</w:t>
      </w:r>
      <w:r>
        <w:t xml:space="preserve">. </w:t>
      </w:r>
    </w:p>
    <w:p w14:paraId="1C62A01C" w14:textId="72D9EAA9" w:rsidR="002B3D16" w:rsidRDefault="001E2037" w:rsidP="00446632">
      <w:pPr>
        <w:pStyle w:val="BodyText"/>
        <w:sectPr w:rsidR="002B3D16" w:rsidSect="003F648B">
          <w:headerReference w:type="default" r:id="rId12"/>
          <w:footerReference w:type="default" r:id="rId13"/>
          <w:headerReference w:type="first" r:id="rId14"/>
          <w:pgSz w:w="11900" w:h="16820"/>
          <w:pgMar w:top="851" w:right="1134" w:bottom="2268" w:left="1134" w:header="720" w:footer="567" w:gutter="0"/>
          <w:cols w:space="340"/>
        </w:sectPr>
      </w:pPr>
      <w:r>
        <w:br w:type="page"/>
      </w:r>
    </w:p>
    <w:p w14:paraId="7A5504DF" w14:textId="1F87183D" w:rsidR="000203EC" w:rsidRPr="004E1139" w:rsidRDefault="002B4AF2" w:rsidP="00282D92">
      <w:r>
        <w:rPr>
          <w:noProof/>
          <w:lang w:val="en-AU" w:eastAsia="en-AU"/>
        </w:rPr>
        <w:lastRenderedPageBreak/>
        <w:drawing>
          <wp:anchor distT="0" distB="0" distL="114300" distR="114300" simplePos="0" relativeHeight="251672576" behindDoc="1" locked="0" layoutInCell="1" allowOverlap="1" wp14:anchorId="56169766" wp14:editId="26D74D9E">
            <wp:simplePos x="0" y="0"/>
            <wp:positionH relativeFrom="column">
              <wp:posOffset>3882781</wp:posOffset>
            </wp:positionH>
            <wp:positionV relativeFrom="paragraph">
              <wp:posOffset>8369935</wp:posOffset>
            </wp:positionV>
            <wp:extent cx="920115" cy="998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IR_Logo_Stacked_Mono_White_RGB.png"/>
                    <pic:cNvPicPr/>
                  </pic:nvPicPr>
                  <pic:blipFill>
                    <a:blip r:embed="rId15">
                      <a:extLst>
                        <a:ext uri="{28A0092B-C50C-407E-A947-70E740481C1C}">
                          <a14:useLocalDpi xmlns:a14="http://schemas.microsoft.com/office/drawing/2010/main" val="0"/>
                        </a:ext>
                      </a:extLst>
                    </a:blip>
                    <a:stretch>
                      <a:fillRect/>
                    </a:stretch>
                  </pic:blipFill>
                  <pic:spPr>
                    <a:xfrm>
                      <a:off x="0" y="0"/>
                      <a:ext cx="920115" cy="998220"/>
                    </a:xfrm>
                    <a:prstGeom prst="rect">
                      <a:avLst/>
                    </a:prstGeom>
                  </pic:spPr>
                </pic:pic>
              </a:graphicData>
            </a:graphic>
          </wp:anchor>
        </w:drawing>
      </w:r>
      <w:r w:rsidR="000A090C">
        <w:rPr>
          <w:noProof/>
          <w:lang w:val="en-AU" w:eastAsia="en-AU"/>
        </w:rPr>
        <w:drawing>
          <wp:anchor distT="0" distB="0" distL="114300" distR="114300" simplePos="0" relativeHeight="251665408" behindDoc="0" locked="1" layoutInCell="1" allowOverlap="1" wp14:anchorId="49AF187D" wp14:editId="0A81340F">
            <wp:simplePos x="0" y="0"/>
            <wp:positionH relativeFrom="page">
              <wp:align>center</wp:align>
            </wp:positionH>
            <wp:positionV relativeFrom="page">
              <wp:posOffset>8856980</wp:posOffset>
            </wp:positionV>
            <wp:extent cx="1125220" cy="1232535"/>
            <wp:effectExtent l="0" t="0" r="0" b="0"/>
            <wp:wrapNone/>
            <wp:docPr id="7" name="Picture 7"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Libraries:PIRSA:Logos:PIRSA:Lockup:PNG:PIRSA Lockup RGB Rev.png"/>
                    <pic:cNvPicPr>
                      <a:picLocks noChangeAspect="1" noChangeArrowheads="1"/>
                    </pic:cNvPicPr>
                  </pic:nvPicPr>
                  <pic:blipFill rotWithShape="1">
                    <a:blip r:embed="rId16">
                      <a:extLst>
                        <a:ext uri="{28A0092B-C50C-407E-A947-70E740481C1C}">
                          <a14:useLocalDpi xmlns:a14="http://schemas.microsoft.com/office/drawing/2010/main" val="0"/>
                        </a:ext>
                      </a:extLst>
                    </a:blip>
                    <a:srcRect r="49072"/>
                    <a:stretch/>
                  </pic:blipFill>
                  <pic:spPr bwMode="auto">
                    <a:xfrm>
                      <a:off x="0" y="0"/>
                      <a:ext cx="1125415" cy="123253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0203EC">
        <w:rPr>
          <w:noProof/>
          <w:lang w:val="en-AU" w:eastAsia="en-AU"/>
        </w:rPr>
        <mc:AlternateContent>
          <mc:Choice Requires="wps">
            <w:drawing>
              <wp:anchor distT="0" distB="0" distL="114300" distR="114300" simplePos="0" relativeHeight="251664384" behindDoc="1" locked="1" layoutInCell="1" allowOverlap="1" wp14:anchorId="23499F50" wp14:editId="73A6C4E2">
                <wp:simplePos x="0" y="0"/>
                <wp:positionH relativeFrom="page">
                  <wp:posOffset>180340</wp:posOffset>
                </wp:positionH>
                <wp:positionV relativeFrom="page">
                  <wp:posOffset>180340</wp:posOffset>
                </wp:positionV>
                <wp:extent cx="7199630" cy="10332000"/>
                <wp:effectExtent l="0" t="0" r="0" b="6350"/>
                <wp:wrapNone/>
                <wp:docPr id="6" name="Rectangle 6"/>
                <wp:cNvGraphicFramePr/>
                <a:graphic xmlns:a="http://schemas.openxmlformats.org/drawingml/2006/main">
                  <a:graphicData uri="http://schemas.microsoft.com/office/word/2010/wordprocessingShape">
                    <wps:wsp>
                      <wps:cNvSpPr/>
                      <wps:spPr>
                        <a:xfrm>
                          <a:off x="0" y="0"/>
                          <a:ext cx="7199630" cy="10332000"/>
                        </a:xfrm>
                        <a:prstGeom prst="rect">
                          <a:avLst/>
                        </a:prstGeom>
                        <a:solidFill>
                          <a:srgbClr val="00427A"/>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C6FAB" id="Rectangle 6" o:spid="_x0000_s1026" style="position:absolute;margin-left:14.2pt;margin-top:14.2pt;width:566.9pt;height:813.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" fillcolor="#00427a" stroked="f">
                <w10:wrap anchorx="page" anchory="page"/>
                <w10:anchorlock/>
              </v:rect>
            </w:pict>
          </mc:Fallback>
        </mc:AlternateContent>
      </w:r>
    </w:p>
    <w:sectPr w:rsidR="000203EC" w:rsidRPr="004E1139" w:rsidSect="000203EC">
      <w:footerReference w:type="default" r:id="rId17"/>
      <w:pgSz w:w="11900" w:h="16820"/>
      <w:pgMar w:top="851" w:right="851" w:bottom="851" w:left="85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503AF" w14:textId="77777777" w:rsidR="00CC1202" w:rsidRDefault="00CC1202" w:rsidP="00E00BE2">
      <w:r>
        <w:separator/>
      </w:r>
    </w:p>
    <w:p w14:paraId="73DB0A57" w14:textId="77777777" w:rsidR="00CC1202" w:rsidRDefault="00CC1202"/>
  </w:endnote>
  <w:endnote w:type="continuationSeparator" w:id="0">
    <w:p w14:paraId="7496130B" w14:textId="77777777" w:rsidR="00CC1202" w:rsidRDefault="00CC1202" w:rsidP="00E00BE2">
      <w:r>
        <w:continuationSeparator/>
      </w:r>
    </w:p>
    <w:p w14:paraId="3C6588A1" w14:textId="77777777" w:rsidR="00CC1202" w:rsidRDefault="00CC1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Osaka">
    <w:altName w:val="MS Gothic"/>
    <w:charset w:val="4E"/>
    <w:family w:val="auto"/>
    <w:pitch w:val="variable"/>
    <w:sig w:usb0="00000000" w:usb1="08070000" w:usb2="00000010" w:usb3="00000000" w:csb0="0002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DD03" w14:textId="77777777" w:rsidR="00455AFA" w:rsidRDefault="00455AFA" w:rsidP="000C0A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E45E88" w14:textId="77777777" w:rsidR="00455AFA" w:rsidRDefault="00455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567F" w14:textId="68C4B833" w:rsidR="00455AFA" w:rsidRPr="008B4454" w:rsidRDefault="00455AFA" w:rsidP="007A35E8">
    <w:pPr>
      <w:spacing w:after="40"/>
      <w:jc w:val="center"/>
      <w:rPr>
        <w:szCs w:val="24"/>
        <w:lang w:val="en-AU" w:eastAsia="en-US"/>
      </w:rPr>
    </w:pPr>
    <w:r>
      <w:rPr>
        <w:rStyle w:val="PageNumber"/>
        <w:szCs w:val="24"/>
      </w:rPr>
      <w:t xml:space="preserve">- </w:t>
    </w:r>
    <w:r w:rsidRPr="008B4454">
      <w:rPr>
        <w:rStyle w:val="PageNumber"/>
        <w:szCs w:val="24"/>
      </w:rPr>
      <w:fldChar w:fldCharType="begin"/>
    </w:r>
    <w:r w:rsidRPr="008B4454">
      <w:rPr>
        <w:rStyle w:val="PageNumber"/>
        <w:szCs w:val="24"/>
      </w:rPr>
      <w:instrText xml:space="preserve"> PAGE </w:instrText>
    </w:r>
    <w:r w:rsidRPr="008B4454">
      <w:rPr>
        <w:rStyle w:val="PageNumber"/>
        <w:szCs w:val="24"/>
      </w:rPr>
      <w:fldChar w:fldCharType="separate"/>
    </w:r>
    <w:r w:rsidR="00A60379">
      <w:rPr>
        <w:rStyle w:val="PageNumber"/>
        <w:noProof/>
        <w:szCs w:val="24"/>
      </w:rPr>
      <w:t>9</w:t>
    </w:r>
    <w:r w:rsidRPr="008B4454">
      <w:rPr>
        <w:rStyle w:val="PageNumber"/>
        <w:szCs w:val="24"/>
      </w:rPr>
      <w:fldChar w:fldCharType="end"/>
    </w:r>
    <w:r>
      <w:rPr>
        <w:rStyle w:val="PageNumber"/>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CEAA3" w14:textId="6DE71111" w:rsidR="00455AFA" w:rsidRDefault="00455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E678C" w14:textId="77777777" w:rsidR="00CC1202" w:rsidRDefault="00CC1202" w:rsidP="00E00BE2">
      <w:r>
        <w:separator/>
      </w:r>
    </w:p>
    <w:p w14:paraId="1B4756DB" w14:textId="77777777" w:rsidR="00CC1202" w:rsidRDefault="00CC1202"/>
  </w:footnote>
  <w:footnote w:type="continuationSeparator" w:id="0">
    <w:p w14:paraId="7B5787A1" w14:textId="77777777" w:rsidR="00CC1202" w:rsidRDefault="00CC1202" w:rsidP="00E00BE2">
      <w:r>
        <w:continuationSeparator/>
      </w:r>
    </w:p>
    <w:p w14:paraId="67FB20C0" w14:textId="77777777" w:rsidR="00CC1202" w:rsidRDefault="00CC12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63F1" w14:textId="01051FFA" w:rsidR="00455AFA" w:rsidRDefault="00455A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62A3" w14:textId="77777777" w:rsidR="00455AFA" w:rsidRDefault="00455A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CD4366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13C9F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5D52889C"/>
    <w:lvl w:ilvl="0">
      <w:start w:val="1"/>
      <w:numFmt w:val="bullet"/>
      <w:lvlText w:val="•"/>
      <w:lvlJc w:val="left"/>
      <w:pPr>
        <w:tabs>
          <w:tab w:val="num" w:pos="349"/>
        </w:tabs>
        <w:ind w:left="349" w:firstLine="360"/>
      </w:pPr>
      <w:rPr>
        <w:rFonts w:ascii="Lucida Grande" w:hAnsi="Lucida Grande"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3" w15:restartNumberingAfterBreak="0">
    <w:nsid w:val="00503227"/>
    <w:multiLevelType w:val="hybridMultilevel"/>
    <w:tmpl w:val="AA7ABED4"/>
    <w:lvl w:ilvl="0" w:tplc="C4F6999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943451"/>
    <w:multiLevelType w:val="hybridMultilevel"/>
    <w:tmpl w:val="D49CF6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4C05EA0"/>
    <w:multiLevelType w:val="hybridMultilevel"/>
    <w:tmpl w:val="C8423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B73818"/>
    <w:multiLevelType w:val="hybridMultilevel"/>
    <w:tmpl w:val="D5F2313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DC5857"/>
    <w:multiLevelType w:val="hybridMultilevel"/>
    <w:tmpl w:val="8AAC4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641C2C"/>
    <w:multiLevelType w:val="hybridMultilevel"/>
    <w:tmpl w:val="F9107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CF2C77"/>
    <w:multiLevelType w:val="hybridMultilevel"/>
    <w:tmpl w:val="1AEC5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A0613D"/>
    <w:multiLevelType w:val="hybridMultilevel"/>
    <w:tmpl w:val="3FC249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C65D94"/>
    <w:multiLevelType w:val="hybridMultilevel"/>
    <w:tmpl w:val="871806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625CE3"/>
    <w:multiLevelType w:val="hybridMultilevel"/>
    <w:tmpl w:val="65664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F20CB5"/>
    <w:multiLevelType w:val="hybridMultilevel"/>
    <w:tmpl w:val="629E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E0D4E"/>
    <w:multiLevelType w:val="hybridMultilevel"/>
    <w:tmpl w:val="53C8A61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31861"/>
    <w:multiLevelType w:val="multilevel"/>
    <w:tmpl w:val="DAC0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0B2DBC"/>
    <w:multiLevelType w:val="hybridMultilevel"/>
    <w:tmpl w:val="A53446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D02D42"/>
    <w:multiLevelType w:val="hybridMultilevel"/>
    <w:tmpl w:val="D8D4E9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717B09"/>
    <w:multiLevelType w:val="hybridMultilevel"/>
    <w:tmpl w:val="D5F2313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CB3336"/>
    <w:multiLevelType w:val="hybridMultilevel"/>
    <w:tmpl w:val="BB5AE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F05110"/>
    <w:multiLevelType w:val="hybridMultilevel"/>
    <w:tmpl w:val="2C9E1B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7E5672"/>
    <w:multiLevelType w:val="multilevel"/>
    <w:tmpl w:val="53BA87B4"/>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2" w15:restartNumberingAfterBreak="0">
    <w:nsid w:val="5ACC08BD"/>
    <w:multiLevelType w:val="hybridMultilevel"/>
    <w:tmpl w:val="D3C24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E229E"/>
    <w:multiLevelType w:val="multilevel"/>
    <w:tmpl w:val="E76C9FD0"/>
    <w:lvl w:ilvl="0">
      <w:start w:val="1"/>
      <w:numFmt w:val="bullet"/>
      <w:lvlText w:val=""/>
      <w:lvlJc w:val="left"/>
      <w:pPr>
        <w:ind w:left="697" w:hanging="360"/>
      </w:pPr>
      <w:rPr>
        <w:rFonts w:ascii="Symbol" w:hAnsi="Symbol" w:hint="default"/>
      </w:rPr>
    </w:lvl>
    <w:lvl w:ilvl="1">
      <w:start w:val="1"/>
      <w:numFmt w:val="bullet"/>
      <w:lvlText w:val="o"/>
      <w:lvlJc w:val="left"/>
      <w:pPr>
        <w:ind w:left="1417" w:hanging="360"/>
      </w:pPr>
      <w:rPr>
        <w:rFonts w:ascii="Courier New" w:hAnsi="Courier New" w:hint="default"/>
      </w:rPr>
    </w:lvl>
    <w:lvl w:ilvl="2">
      <w:start w:val="1"/>
      <w:numFmt w:val="bullet"/>
      <w:lvlText w:val=""/>
      <w:lvlJc w:val="left"/>
      <w:pPr>
        <w:ind w:left="2137" w:hanging="360"/>
      </w:pPr>
      <w:rPr>
        <w:rFonts w:ascii="Wingdings" w:hAnsi="Wingdings" w:hint="default"/>
      </w:rPr>
    </w:lvl>
    <w:lvl w:ilvl="3">
      <w:start w:val="1"/>
      <w:numFmt w:val="bullet"/>
      <w:lvlText w:val=""/>
      <w:lvlJc w:val="left"/>
      <w:pPr>
        <w:ind w:left="2857" w:hanging="360"/>
      </w:pPr>
      <w:rPr>
        <w:rFonts w:ascii="Symbol" w:hAnsi="Symbol" w:hint="default"/>
      </w:rPr>
    </w:lvl>
    <w:lvl w:ilvl="4">
      <w:start w:val="1"/>
      <w:numFmt w:val="bullet"/>
      <w:lvlText w:val="o"/>
      <w:lvlJc w:val="left"/>
      <w:pPr>
        <w:ind w:left="3577" w:hanging="360"/>
      </w:pPr>
      <w:rPr>
        <w:rFonts w:ascii="Courier New" w:hAnsi="Courier New" w:hint="default"/>
      </w:rPr>
    </w:lvl>
    <w:lvl w:ilvl="5">
      <w:start w:val="1"/>
      <w:numFmt w:val="bullet"/>
      <w:lvlText w:val=""/>
      <w:lvlJc w:val="left"/>
      <w:pPr>
        <w:ind w:left="4297" w:hanging="360"/>
      </w:pPr>
      <w:rPr>
        <w:rFonts w:ascii="Wingdings" w:hAnsi="Wingdings" w:hint="default"/>
      </w:rPr>
    </w:lvl>
    <w:lvl w:ilvl="6">
      <w:start w:val="1"/>
      <w:numFmt w:val="bullet"/>
      <w:lvlText w:val=""/>
      <w:lvlJc w:val="left"/>
      <w:pPr>
        <w:ind w:left="5017" w:hanging="360"/>
      </w:pPr>
      <w:rPr>
        <w:rFonts w:ascii="Symbol" w:hAnsi="Symbol" w:hint="default"/>
      </w:rPr>
    </w:lvl>
    <w:lvl w:ilvl="7">
      <w:start w:val="1"/>
      <w:numFmt w:val="bullet"/>
      <w:lvlText w:val="o"/>
      <w:lvlJc w:val="left"/>
      <w:pPr>
        <w:ind w:left="5737" w:hanging="360"/>
      </w:pPr>
      <w:rPr>
        <w:rFonts w:ascii="Courier New" w:hAnsi="Courier New" w:hint="default"/>
      </w:rPr>
    </w:lvl>
    <w:lvl w:ilvl="8">
      <w:start w:val="1"/>
      <w:numFmt w:val="bullet"/>
      <w:lvlText w:val=""/>
      <w:lvlJc w:val="left"/>
      <w:pPr>
        <w:ind w:left="6457" w:hanging="360"/>
      </w:pPr>
      <w:rPr>
        <w:rFonts w:ascii="Wingdings" w:hAnsi="Wingdings" w:hint="default"/>
      </w:rPr>
    </w:lvl>
  </w:abstractNum>
  <w:abstractNum w:abstractNumId="24" w15:restartNumberingAfterBreak="0">
    <w:nsid w:val="5CE340BA"/>
    <w:multiLevelType w:val="hybridMultilevel"/>
    <w:tmpl w:val="AE56C27C"/>
    <w:lvl w:ilvl="0" w:tplc="2CD43918">
      <w:start w:val="1"/>
      <w:numFmt w:val="bullet"/>
      <w:lvlText w:val=""/>
      <w:lvlJc w:val="left"/>
      <w:pPr>
        <w:ind w:left="340" w:hanging="340"/>
      </w:pPr>
      <w:rPr>
        <w:rFonts w:ascii="Symbol" w:hAnsi="Symbol" w:hint="default"/>
      </w:rPr>
    </w:lvl>
    <w:lvl w:ilvl="1" w:tplc="04090003" w:tentative="1">
      <w:start w:val="1"/>
      <w:numFmt w:val="bullet"/>
      <w:lvlText w:val="o"/>
      <w:lvlJc w:val="left"/>
      <w:pPr>
        <w:ind w:left="1417" w:hanging="360"/>
      </w:pPr>
      <w:rPr>
        <w:rFonts w:ascii="Courier New" w:hAnsi="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5" w15:restartNumberingAfterBreak="0">
    <w:nsid w:val="5D2473B5"/>
    <w:multiLevelType w:val="hybridMultilevel"/>
    <w:tmpl w:val="4ECAF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AF24B0"/>
    <w:multiLevelType w:val="hybridMultilevel"/>
    <w:tmpl w:val="F348AFAE"/>
    <w:lvl w:ilvl="0" w:tplc="89040068">
      <w:start w:val="1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CC03C2"/>
    <w:multiLevelType w:val="hybridMultilevel"/>
    <w:tmpl w:val="B7527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CF357D"/>
    <w:multiLevelType w:val="hybridMultilevel"/>
    <w:tmpl w:val="8CF29E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8E3D45"/>
    <w:multiLevelType w:val="hybridMultilevel"/>
    <w:tmpl w:val="7B027A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D621E9"/>
    <w:multiLevelType w:val="multilevel"/>
    <w:tmpl w:val="E76C9FD0"/>
    <w:lvl w:ilvl="0">
      <w:start w:val="1"/>
      <w:numFmt w:val="bullet"/>
      <w:lvlText w:val=""/>
      <w:lvlJc w:val="left"/>
      <w:pPr>
        <w:ind w:left="697" w:hanging="360"/>
      </w:pPr>
      <w:rPr>
        <w:rFonts w:ascii="Symbol" w:hAnsi="Symbol" w:hint="default"/>
      </w:rPr>
    </w:lvl>
    <w:lvl w:ilvl="1">
      <w:start w:val="1"/>
      <w:numFmt w:val="bullet"/>
      <w:lvlText w:val="o"/>
      <w:lvlJc w:val="left"/>
      <w:pPr>
        <w:ind w:left="1417" w:hanging="360"/>
      </w:pPr>
      <w:rPr>
        <w:rFonts w:ascii="Courier New" w:hAnsi="Courier New" w:hint="default"/>
      </w:rPr>
    </w:lvl>
    <w:lvl w:ilvl="2">
      <w:start w:val="1"/>
      <w:numFmt w:val="bullet"/>
      <w:lvlText w:val=""/>
      <w:lvlJc w:val="left"/>
      <w:pPr>
        <w:ind w:left="2137" w:hanging="360"/>
      </w:pPr>
      <w:rPr>
        <w:rFonts w:ascii="Wingdings" w:hAnsi="Wingdings" w:hint="default"/>
      </w:rPr>
    </w:lvl>
    <w:lvl w:ilvl="3">
      <w:start w:val="1"/>
      <w:numFmt w:val="bullet"/>
      <w:lvlText w:val=""/>
      <w:lvlJc w:val="left"/>
      <w:pPr>
        <w:ind w:left="2857" w:hanging="360"/>
      </w:pPr>
      <w:rPr>
        <w:rFonts w:ascii="Symbol" w:hAnsi="Symbol" w:hint="default"/>
      </w:rPr>
    </w:lvl>
    <w:lvl w:ilvl="4">
      <w:start w:val="1"/>
      <w:numFmt w:val="bullet"/>
      <w:lvlText w:val="o"/>
      <w:lvlJc w:val="left"/>
      <w:pPr>
        <w:ind w:left="3577" w:hanging="360"/>
      </w:pPr>
      <w:rPr>
        <w:rFonts w:ascii="Courier New" w:hAnsi="Courier New" w:hint="default"/>
      </w:rPr>
    </w:lvl>
    <w:lvl w:ilvl="5">
      <w:start w:val="1"/>
      <w:numFmt w:val="bullet"/>
      <w:lvlText w:val=""/>
      <w:lvlJc w:val="left"/>
      <w:pPr>
        <w:ind w:left="4297" w:hanging="360"/>
      </w:pPr>
      <w:rPr>
        <w:rFonts w:ascii="Wingdings" w:hAnsi="Wingdings" w:hint="default"/>
      </w:rPr>
    </w:lvl>
    <w:lvl w:ilvl="6">
      <w:start w:val="1"/>
      <w:numFmt w:val="bullet"/>
      <w:lvlText w:val=""/>
      <w:lvlJc w:val="left"/>
      <w:pPr>
        <w:ind w:left="5017" w:hanging="360"/>
      </w:pPr>
      <w:rPr>
        <w:rFonts w:ascii="Symbol" w:hAnsi="Symbol" w:hint="default"/>
      </w:rPr>
    </w:lvl>
    <w:lvl w:ilvl="7">
      <w:start w:val="1"/>
      <w:numFmt w:val="bullet"/>
      <w:lvlText w:val="o"/>
      <w:lvlJc w:val="left"/>
      <w:pPr>
        <w:ind w:left="5737" w:hanging="360"/>
      </w:pPr>
      <w:rPr>
        <w:rFonts w:ascii="Courier New" w:hAnsi="Courier New" w:hint="default"/>
      </w:rPr>
    </w:lvl>
    <w:lvl w:ilvl="8">
      <w:start w:val="1"/>
      <w:numFmt w:val="bullet"/>
      <w:lvlText w:val=""/>
      <w:lvlJc w:val="left"/>
      <w:pPr>
        <w:ind w:left="6457" w:hanging="360"/>
      </w:pPr>
      <w:rPr>
        <w:rFonts w:ascii="Wingdings" w:hAnsi="Wingdings" w:hint="default"/>
      </w:rPr>
    </w:lvl>
  </w:abstractNum>
  <w:num w:numId="1">
    <w:abstractNumId w:val="24"/>
  </w:num>
  <w:num w:numId="2">
    <w:abstractNumId w:val="23"/>
  </w:num>
  <w:num w:numId="3">
    <w:abstractNumId w:val="30"/>
  </w:num>
  <w:num w:numId="4">
    <w:abstractNumId w:val="15"/>
  </w:num>
  <w:num w:numId="5">
    <w:abstractNumId w:val="13"/>
  </w:num>
  <w:num w:numId="6">
    <w:abstractNumId w:val="1"/>
  </w:num>
  <w:num w:numId="7">
    <w:abstractNumId w:val="0"/>
  </w:num>
  <w:num w:numId="8">
    <w:abstractNumId w:val="7"/>
  </w:num>
  <w:num w:numId="9">
    <w:abstractNumId w:val="8"/>
  </w:num>
  <w:num w:numId="10">
    <w:abstractNumId w:val="25"/>
  </w:num>
  <w:num w:numId="11">
    <w:abstractNumId w:val="27"/>
  </w:num>
  <w:num w:numId="12">
    <w:abstractNumId w:val="9"/>
  </w:num>
  <w:num w:numId="13">
    <w:abstractNumId w:val="5"/>
  </w:num>
  <w:num w:numId="14">
    <w:abstractNumId w:val="2"/>
  </w:num>
  <w:num w:numId="15">
    <w:abstractNumId w:val="22"/>
  </w:num>
  <w:num w:numId="16">
    <w:abstractNumId w:val="12"/>
  </w:num>
  <w:num w:numId="17">
    <w:abstractNumId w:val="16"/>
  </w:num>
  <w:num w:numId="18">
    <w:abstractNumId w:val="10"/>
  </w:num>
  <w:num w:numId="19">
    <w:abstractNumId w:val="29"/>
  </w:num>
  <w:num w:numId="20">
    <w:abstractNumId w:val="17"/>
  </w:num>
  <w:num w:numId="21">
    <w:abstractNumId w:val="28"/>
  </w:num>
  <w:num w:numId="22">
    <w:abstractNumId w:val="3"/>
  </w:num>
  <w:num w:numId="23">
    <w:abstractNumId w:val="1"/>
  </w:num>
  <w:num w:numId="24">
    <w:abstractNumId w:val="1"/>
  </w:num>
  <w:num w:numId="25">
    <w:abstractNumId w:val="1"/>
  </w:num>
  <w:num w:numId="26">
    <w:abstractNumId w:val="26"/>
  </w:num>
  <w:num w:numId="27">
    <w:abstractNumId w:val="1"/>
  </w:num>
  <w:num w:numId="28">
    <w:abstractNumId w:val="20"/>
  </w:num>
  <w:num w:numId="29">
    <w:abstractNumId w:val="4"/>
  </w:num>
  <w:num w:numId="30">
    <w:abstractNumId w:val="18"/>
  </w:num>
  <w:num w:numId="31">
    <w:abstractNumId w:val="6"/>
  </w:num>
  <w:num w:numId="32">
    <w:abstractNumId w:val="11"/>
  </w:num>
  <w:num w:numId="33">
    <w:abstractNumId w:val="21"/>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compressPunctuation"/>
  <w:hdrShapeDefaults>
    <o:shapedefaults v:ext="edit" spidmax="2049"/>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AFB"/>
    <w:rsid w:val="000203EC"/>
    <w:rsid w:val="000262A0"/>
    <w:rsid w:val="00044DD2"/>
    <w:rsid w:val="00053B9A"/>
    <w:rsid w:val="00057331"/>
    <w:rsid w:val="00061EAD"/>
    <w:rsid w:val="000668F4"/>
    <w:rsid w:val="0008276F"/>
    <w:rsid w:val="00096555"/>
    <w:rsid w:val="000A090C"/>
    <w:rsid w:val="000C0A95"/>
    <w:rsid w:val="000E2DA9"/>
    <w:rsid w:val="001046AD"/>
    <w:rsid w:val="00144551"/>
    <w:rsid w:val="00175A4F"/>
    <w:rsid w:val="00194AC4"/>
    <w:rsid w:val="001B0E6E"/>
    <w:rsid w:val="001B1DB3"/>
    <w:rsid w:val="001C5172"/>
    <w:rsid w:val="001E2037"/>
    <w:rsid w:val="001E4EA3"/>
    <w:rsid w:val="00206585"/>
    <w:rsid w:val="00282D92"/>
    <w:rsid w:val="002B3D16"/>
    <w:rsid w:val="002B4AF2"/>
    <w:rsid w:val="002B5791"/>
    <w:rsid w:val="002B5C28"/>
    <w:rsid w:val="002E586A"/>
    <w:rsid w:val="002F7D32"/>
    <w:rsid w:val="00303405"/>
    <w:rsid w:val="003114BC"/>
    <w:rsid w:val="0031590A"/>
    <w:rsid w:val="00323605"/>
    <w:rsid w:val="00352BAE"/>
    <w:rsid w:val="00372C41"/>
    <w:rsid w:val="003847C9"/>
    <w:rsid w:val="003A430E"/>
    <w:rsid w:val="003B31DA"/>
    <w:rsid w:val="003C0C03"/>
    <w:rsid w:val="003D08F4"/>
    <w:rsid w:val="003F648B"/>
    <w:rsid w:val="004328CB"/>
    <w:rsid w:val="00446632"/>
    <w:rsid w:val="00454017"/>
    <w:rsid w:val="00455134"/>
    <w:rsid w:val="00455681"/>
    <w:rsid w:val="00455AFA"/>
    <w:rsid w:val="004701FE"/>
    <w:rsid w:val="00471C95"/>
    <w:rsid w:val="004A1DDD"/>
    <w:rsid w:val="004C2B96"/>
    <w:rsid w:val="004C4F6D"/>
    <w:rsid w:val="004C7A45"/>
    <w:rsid w:val="004E1139"/>
    <w:rsid w:val="004F22DA"/>
    <w:rsid w:val="00532853"/>
    <w:rsid w:val="00547956"/>
    <w:rsid w:val="00585D3F"/>
    <w:rsid w:val="00590532"/>
    <w:rsid w:val="005A3FBB"/>
    <w:rsid w:val="005D1852"/>
    <w:rsid w:val="005D719C"/>
    <w:rsid w:val="005F06D9"/>
    <w:rsid w:val="005F1867"/>
    <w:rsid w:val="00603C07"/>
    <w:rsid w:val="00623888"/>
    <w:rsid w:val="00623F68"/>
    <w:rsid w:val="00693A24"/>
    <w:rsid w:val="006D69C7"/>
    <w:rsid w:val="006E6A09"/>
    <w:rsid w:val="006F0CE8"/>
    <w:rsid w:val="00715D0E"/>
    <w:rsid w:val="00731D5D"/>
    <w:rsid w:val="00737B09"/>
    <w:rsid w:val="00755BF1"/>
    <w:rsid w:val="00756F76"/>
    <w:rsid w:val="00760401"/>
    <w:rsid w:val="00764472"/>
    <w:rsid w:val="00782C0D"/>
    <w:rsid w:val="007A35E8"/>
    <w:rsid w:val="007A37E7"/>
    <w:rsid w:val="007C04B6"/>
    <w:rsid w:val="007C297C"/>
    <w:rsid w:val="007D0AA3"/>
    <w:rsid w:val="007E7AFB"/>
    <w:rsid w:val="007F4531"/>
    <w:rsid w:val="007F5F3E"/>
    <w:rsid w:val="0081545F"/>
    <w:rsid w:val="008230E3"/>
    <w:rsid w:val="00824D9B"/>
    <w:rsid w:val="00825B17"/>
    <w:rsid w:val="008356AE"/>
    <w:rsid w:val="00846A70"/>
    <w:rsid w:val="00846F77"/>
    <w:rsid w:val="008526AC"/>
    <w:rsid w:val="00856D4C"/>
    <w:rsid w:val="00893BB6"/>
    <w:rsid w:val="008A3860"/>
    <w:rsid w:val="008A51ED"/>
    <w:rsid w:val="008A723C"/>
    <w:rsid w:val="008B4454"/>
    <w:rsid w:val="008D2D82"/>
    <w:rsid w:val="008D5968"/>
    <w:rsid w:val="008E2211"/>
    <w:rsid w:val="008F11C9"/>
    <w:rsid w:val="00943EEA"/>
    <w:rsid w:val="009542EE"/>
    <w:rsid w:val="0098744C"/>
    <w:rsid w:val="00997269"/>
    <w:rsid w:val="009B3BC5"/>
    <w:rsid w:val="009E280C"/>
    <w:rsid w:val="009E2878"/>
    <w:rsid w:val="00A04108"/>
    <w:rsid w:val="00A11720"/>
    <w:rsid w:val="00A26E0A"/>
    <w:rsid w:val="00A30B5F"/>
    <w:rsid w:val="00A33151"/>
    <w:rsid w:val="00A5048A"/>
    <w:rsid w:val="00A60379"/>
    <w:rsid w:val="00A76CA0"/>
    <w:rsid w:val="00AA1DA8"/>
    <w:rsid w:val="00AB0D56"/>
    <w:rsid w:val="00AB6949"/>
    <w:rsid w:val="00AC4C3A"/>
    <w:rsid w:val="00AC70C4"/>
    <w:rsid w:val="00AE6C7D"/>
    <w:rsid w:val="00AF7053"/>
    <w:rsid w:val="00B07DCF"/>
    <w:rsid w:val="00B145B2"/>
    <w:rsid w:val="00B31675"/>
    <w:rsid w:val="00B3578A"/>
    <w:rsid w:val="00B5140D"/>
    <w:rsid w:val="00B55FDB"/>
    <w:rsid w:val="00B706BF"/>
    <w:rsid w:val="00B7166F"/>
    <w:rsid w:val="00B86840"/>
    <w:rsid w:val="00BB22F1"/>
    <w:rsid w:val="00BB6D92"/>
    <w:rsid w:val="00BC1D56"/>
    <w:rsid w:val="00BD4DFE"/>
    <w:rsid w:val="00BE1148"/>
    <w:rsid w:val="00BE4905"/>
    <w:rsid w:val="00BE6841"/>
    <w:rsid w:val="00BE7587"/>
    <w:rsid w:val="00BF0833"/>
    <w:rsid w:val="00BF2BB1"/>
    <w:rsid w:val="00C05FDC"/>
    <w:rsid w:val="00C63EF6"/>
    <w:rsid w:val="00C77ADD"/>
    <w:rsid w:val="00C85D63"/>
    <w:rsid w:val="00C924D6"/>
    <w:rsid w:val="00CC1202"/>
    <w:rsid w:val="00CC2647"/>
    <w:rsid w:val="00CC7824"/>
    <w:rsid w:val="00D016CB"/>
    <w:rsid w:val="00D038DD"/>
    <w:rsid w:val="00D164E1"/>
    <w:rsid w:val="00D350F5"/>
    <w:rsid w:val="00D72E0C"/>
    <w:rsid w:val="00D77D3A"/>
    <w:rsid w:val="00DA43E7"/>
    <w:rsid w:val="00DC762C"/>
    <w:rsid w:val="00DE4589"/>
    <w:rsid w:val="00E00BE2"/>
    <w:rsid w:val="00E16716"/>
    <w:rsid w:val="00E23DA8"/>
    <w:rsid w:val="00E34B41"/>
    <w:rsid w:val="00E418CB"/>
    <w:rsid w:val="00E45E22"/>
    <w:rsid w:val="00E555C7"/>
    <w:rsid w:val="00E66C7F"/>
    <w:rsid w:val="00E70D65"/>
    <w:rsid w:val="00EB236B"/>
    <w:rsid w:val="00EC3395"/>
    <w:rsid w:val="00ED5F9B"/>
    <w:rsid w:val="00F026A7"/>
    <w:rsid w:val="00F30C04"/>
    <w:rsid w:val="00F3133C"/>
    <w:rsid w:val="00F36ADC"/>
    <w:rsid w:val="00F55316"/>
    <w:rsid w:val="00F67264"/>
    <w:rsid w:val="00F81676"/>
    <w:rsid w:val="00FB3131"/>
    <w:rsid w:val="00FD4693"/>
    <w:rsid w:val="00FE1776"/>
    <w:rsid w:val="00FF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D6120"/>
  <w15:docId w15:val="{F0C21067-9317-48FC-AE6C-3B12E38B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FA"/>
    <w:rPr>
      <w:rFonts w:ascii="Arial" w:hAnsi="Arial"/>
      <w:sz w:val="24"/>
    </w:rPr>
  </w:style>
  <w:style w:type="paragraph" w:styleId="Heading1">
    <w:name w:val="heading 1"/>
    <w:basedOn w:val="Normal"/>
    <w:next w:val="Normal"/>
    <w:link w:val="Heading1Char"/>
    <w:uiPriority w:val="9"/>
    <w:qFormat/>
    <w:rsid w:val="00352BAE"/>
    <w:pPr>
      <w:keepNext/>
      <w:keepLines/>
      <w:spacing w:before="480" w:line="600" w:lineRule="exact"/>
      <w:outlineLvl w:val="0"/>
    </w:pPr>
    <w:rPr>
      <w:rFonts w:ascii="Arial Bold" w:eastAsiaTheme="majorEastAsia" w:hAnsi="Arial Bold" w:cstheme="majorBidi"/>
      <w:bCs/>
      <w:color w:val="00427A"/>
      <w:kern w:val="40"/>
      <w:sz w:val="48"/>
      <w:szCs w:val="48"/>
    </w:rPr>
  </w:style>
  <w:style w:type="paragraph" w:styleId="Heading2">
    <w:name w:val="heading 2"/>
    <w:basedOn w:val="Normal"/>
    <w:next w:val="Normal"/>
    <w:link w:val="Heading2Char"/>
    <w:uiPriority w:val="9"/>
    <w:unhideWhenUsed/>
    <w:qFormat/>
    <w:rsid w:val="00352BAE"/>
    <w:pPr>
      <w:keepNext/>
      <w:keepLines/>
      <w:spacing w:before="360" w:line="450" w:lineRule="exact"/>
      <w:outlineLvl w:val="1"/>
    </w:pPr>
    <w:rPr>
      <w:rFonts w:ascii="Arial Bold" w:eastAsiaTheme="majorEastAsia" w:hAnsi="Arial Bold" w:cstheme="majorBidi"/>
      <w:color w:val="00427A"/>
      <w:kern w:val="28"/>
      <w:sz w:val="36"/>
      <w:szCs w:val="36"/>
    </w:rPr>
  </w:style>
  <w:style w:type="paragraph" w:styleId="Heading3">
    <w:name w:val="heading 3"/>
    <w:basedOn w:val="Normal"/>
    <w:next w:val="Normal"/>
    <w:link w:val="Heading3Char"/>
    <w:uiPriority w:val="9"/>
    <w:unhideWhenUsed/>
    <w:qFormat/>
    <w:rsid w:val="00455AFA"/>
    <w:pPr>
      <w:keepNext/>
      <w:keepLines/>
      <w:spacing w:before="240"/>
      <w:outlineLvl w:val="2"/>
    </w:pPr>
    <w:rPr>
      <w:rFonts w:ascii="Arial Bold" w:eastAsiaTheme="majorEastAsia" w:hAnsi="Arial Bold"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82D92"/>
    <w:rPr>
      <w:rFonts w:ascii="Minion Pro" w:hAnsi="Minion Pro" w:cs="Minion Pro"/>
      <w:color w:val="231F20"/>
      <w:szCs w:val="24"/>
      <w:u w:color="000000"/>
    </w:rPr>
  </w:style>
  <w:style w:type="paragraph" w:customStyle="1" w:styleId="FeatureText">
    <w:name w:val="Feature Text"/>
    <w:basedOn w:val="Normal"/>
    <w:qFormat/>
    <w:rsid w:val="000C0A95"/>
    <w:pPr>
      <w:spacing w:line="400" w:lineRule="exact"/>
    </w:pPr>
    <w:rPr>
      <w:rFonts w:cs="Arial"/>
      <w:color w:val="00427A"/>
      <w:sz w:val="32"/>
      <w:szCs w:val="28"/>
      <w:u w:color="000000"/>
    </w:rPr>
  </w:style>
  <w:style w:type="paragraph" w:styleId="Header">
    <w:name w:val="header"/>
    <w:basedOn w:val="Normal"/>
    <w:link w:val="HeaderChar"/>
    <w:uiPriority w:val="99"/>
    <w:unhideWhenUsed/>
    <w:rsid w:val="00846A70"/>
    <w:pPr>
      <w:tabs>
        <w:tab w:val="center" w:pos="4320"/>
        <w:tab w:val="right" w:pos="8640"/>
      </w:tabs>
    </w:pPr>
  </w:style>
  <w:style w:type="character" w:customStyle="1" w:styleId="HeaderChar">
    <w:name w:val="Header Char"/>
    <w:basedOn w:val="DefaultParagraphFont"/>
    <w:link w:val="Header"/>
    <w:uiPriority w:val="99"/>
    <w:rsid w:val="00846A70"/>
  </w:style>
  <w:style w:type="paragraph" w:styleId="Footer">
    <w:name w:val="footer"/>
    <w:basedOn w:val="Normal"/>
    <w:link w:val="FooterChar"/>
    <w:uiPriority w:val="99"/>
    <w:unhideWhenUsed/>
    <w:rsid w:val="00846A70"/>
    <w:pPr>
      <w:tabs>
        <w:tab w:val="center" w:pos="4320"/>
        <w:tab w:val="right" w:pos="8640"/>
      </w:tabs>
    </w:pPr>
  </w:style>
  <w:style w:type="character" w:customStyle="1" w:styleId="FooterChar">
    <w:name w:val="Footer Char"/>
    <w:basedOn w:val="DefaultParagraphFont"/>
    <w:link w:val="Footer"/>
    <w:uiPriority w:val="99"/>
    <w:rsid w:val="00846A70"/>
  </w:style>
  <w:style w:type="paragraph" w:styleId="BalloonText">
    <w:name w:val="Balloon Text"/>
    <w:basedOn w:val="Normal"/>
    <w:link w:val="BalloonTextChar"/>
    <w:uiPriority w:val="99"/>
    <w:semiHidden/>
    <w:unhideWhenUsed/>
    <w:rsid w:val="000A09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90C"/>
    <w:rPr>
      <w:rFonts w:ascii="Lucida Grande" w:hAnsi="Lucida Grande" w:cs="Lucida Grande"/>
      <w:sz w:val="18"/>
      <w:szCs w:val="18"/>
    </w:rPr>
  </w:style>
  <w:style w:type="table" w:styleId="TableGrid">
    <w:name w:val="Table Grid"/>
    <w:basedOn w:val="TableNormal"/>
    <w:uiPriority w:val="59"/>
    <w:rsid w:val="0081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C2647"/>
  </w:style>
  <w:style w:type="paragraph" w:styleId="Title">
    <w:name w:val="Title"/>
    <w:basedOn w:val="Normal"/>
    <w:next w:val="Normal"/>
    <w:link w:val="TitleChar"/>
    <w:uiPriority w:val="10"/>
    <w:qFormat/>
    <w:rsid w:val="00446632"/>
    <w:pPr>
      <w:spacing w:line="840" w:lineRule="exact"/>
    </w:pPr>
    <w:rPr>
      <w:rFonts w:ascii="Arial Bold" w:eastAsiaTheme="majorEastAsia" w:hAnsi="Arial Bold" w:cstheme="majorBidi"/>
      <w:bCs/>
      <w:color w:val="00427A"/>
      <w:kern w:val="28"/>
      <w:sz w:val="56"/>
      <w:szCs w:val="84"/>
    </w:rPr>
  </w:style>
  <w:style w:type="character" w:customStyle="1" w:styleId="TitleChar">
    <w:name w:val="Title Char"/>
    <w:basedOn w:val="DefaultParagraphFont"/>
    <w:link w:val="Title"/>
    <w:uiPriority w:val="10"/>
    <w:rsid w:val="00446632"/>
    <w:rPr>
      <w:rFonts w:ascii="Arial Bold" w:eastAsiaTheme="majorEastAsia" w:hAnsi="Arial Bold" w:cstheme="majorBidi"/>
      <w:bCs/>
      <w:color w:val="00427A"/>
      <w:kern w:val="28"/>
      <w:sz w:val="56"/>
      <w:szCs w:val="84"/>
    </w:rPr>
  </w:style>
  <w:style w:type="paragraph" w:styleId="BodyText">
    <w:name w:val="Body Text"/>
    <w:basedOn w:val="Normal"/>
    <w:link w:val="BodyTextChar"/>
    <w:uiPriority w:val="99"/>
    <w:unhideWhenUsed/>
    <w:qFormat/>
    <w:rsid w:val="000E2DA9"/>
    <w:pPr>
      <w:spacing w:before="240" w:line="300" w:lineRule="exact"/>
    </w:pPr>
    <w:rPr>
      <w:szCs w:val="24"/>
    </w:rPr>
  </w:style>
  <w:style w:type="character" w:customStyle="1" w:styleId="BodyTextChar">
    <w:name w:val="Body Text Char"/>
    <w:basedOn w:val="DefaultParagraphFont"/>
    <w:link w:val="BodyText"/>
    <w:uiPriority w:val="99"/>
    <w:rsid w:val="000E2DA9"/>
    <w:rPr>
      <w:rFonts w:ascii="Arial" w:hAnsi="Arial"/>
      <w:sz w:val="24"/>
      <w:szCs w:val="24"/>
    </w:rPr>
  </w:style>
  <w:style w:type="character" w:customStyle="1" w:styleId="Heading1Char">
    <w:name w:val="Heading 1 Char"/>
    <w:basedOn w:val="DefaultParagraphFont"/>
    <w:link w:val="Heading1"/>
    <w:uiPriority w:val="9"/>
    <w:rsid w:val="00352BAE"/>
    <w:rPr>
      <w:rFonts w:ascii="Arial Bold" w:eastAsiaTheme="majorEastAsia" w:hAnsi="Arial Bold" w:cstheme="majorBidi"/>
      <w:bCs/>
      <w:color w:val="00427A"/>
      <w:kern w:val="40"/>
      <w:sz w:val="48"/>
      <w:szCs w:val="48"/>
    </w:rPr>
  </w:style>
  <w:style w:type="character" w:customStyle="1" w:styleId="Heading2Char">
    <w:name w:val="Heading 2 Char"/>
    <w:basedOn w:val="DefaultParagraphFont"/>
    <w:link w:val="Heading2"/>
    <w:uiPriority w:val="9"/>
    <w:rsid w:val="00352BAE"/>
    <w:rPr>
      <w:rFonts w:ascii="Arial Bold" w:eastAsiaTheme="majorEastAsia" w:hAnsi="Arial Bold" w:cstheme="majorBidi"/>
      <w:color w:val="00427A"/>
      <w:kern w:val="28"/>
      <w:sz w:val="36"/>
      <w:szCs w:val="36"/>
    </w:rPr>
  </w:style>
  <w:style w:type="character" w:customStyle="1" w:styleId="Heading3Char">
    <w:name w:val="Heading 3 Char"/>
    <w:basedOn w:val="DefaultParagraphFont"/>
    <w:link w:val="Heading3"/>
    <w:uiPriority w:val="9"/>
    <w:rsid w:val="00455AFA"/>
    <w:rPr>
      <w:rFonts w:ascii="Arial Bold" w:eastAsiaTheme="majorEastAsia" w:hAnsi="Arial Bold" w:cstheme="majorBidi"/>
      <w:bCs/>
      <w:sz w:val="24"/>
    </w:rPr>
  </w:style>
  <w:style w:type="paragraph" w:styleId="ListBullet">
    <w:name w:val="List Bullet"/>
    <w:basedOn w:val="BodyText"/>
    <w:uiPriority w:val="99"/>
    <w:unhideWhenUsed/>
    <w:qFormat/>
    <w:rsid w:val="00F36ADC"/>
    <w:pPr>
      <w:numPr>
        <w:numId w:val="6"/>
      </w:numPr>
      <w:spacing w:before="120"/>
    </w:pPr>
  </w:style>
  <w:style w:type="character" w:styleId="IntenseReference">
    <w:name w:val="Intense Reference"/>
    <w:basedOn w:val="DefaultParagraphFont"/>
    <w:uiPriority w:val="32"/>
    <w:qFormat/>
    <w:rsid w:val="001046AD"/>
    <w:rPr>
      <w:b/>
      <w:bCs/>
      <w:smallCaps/>
      <w:color w:val="4F81BD" w:themeColor="accent1"/>
      <w:spacing w:val="5"/>
    </w:rPr>
  </w:style>
  <w:style w:type="paragraph" w:customStyle="1" w:styleId="PIRSANormal">
    <w:name w:val="PIRSA Normal"/>
    <w:basedOn w:val="Normal"/>
    <w:qFormat/>
    <w:rsid w:val="00455134"/>
    <w:pPr>
      <w:spacing w:after="200" w:line="260" w:lineRule="exact"/>
    </w:pPr>
    <w:rPr>
      <w:rFonts w:ascii="Arial Narrow" w:eastAsia="MS Mincho" w:hAnsi="Arial Narrow" w:cs="Times New Roman"/>
      <w:sz w:val="22"/>
      <w:szCs w:val="24"/>
      <w:lang w:val="en-AU"/>
    </w:rPr>
  </w:style>
  <w:style w:type="paragraph" w:styleId="ListParagraph">
    <w:name w:val="List Paragraph"/>
    <w:aliases w:val="breifing heading"/>
    <w:basedOn w:val="Normal"/>
    <w:uiPriority w:val="34"/>
    <w:qFormat/>
    <w:rsid w:val="00455134"/>
    <w:pPr>
      <w:spacing w:after="200" w:line="260" w:lineRule="exact"/>
      <w:ind w:left="720"/>
      <w:contextualSpacing/>
    </w:pPr>
    <w:rPr>
      <w:rFonts w:ascii="Arial Narrow" w:eastAsia="MS Mincho" w:hAnsi="Arial Narrow" w:cs="Times New Roman"/>
      <w:sz w:val="22"/>
      <w:szCs w:val="24"/>
      <w:lang w:val="en-AU"/>
    </w:rPr>
  </w:style>
  <w:style w:type="paragraph" w:customStyle="1" w:styleId="BodyA">
    <w:name w:val="Body A"/>
    <w:rsid w:val="00057331"/>
    <w:rPr>
      <w:rFonts w:ascii="Helvetica" w:eastAsia="ヒラギノ角ゴ Pro W3" w:hAnsi="Helvetica" w:cs="Times New Roman"/>
      <w:color w:val="000000"/>
      <w:sz w:val="24"/>
      <w:lang w:eastAsia="en-AU"/>
    </w:rPr>
  </w:style>
  <w:style w:type="table" w:styleId="GridTable2-Accent1">
    <w:name w:val="Grid Table 2 Accent 1"/>
    <w:basedOn w:val="TableNormal"/>
    <w:uiPriority w:val="47"/>
    <w:rsid w:val="003B31DA"/>
    <w:rPr>
      <w:sz w:val="22"/>
      <w:szCs w:val="22"/>
      <w:lang w:val="en-AU"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532853"/>
    <w:rPr>
      <w:sz w:val="16"/>
      <w:szCs w:val="16"/>
    </w:rPr>
  </w:style>
  <w:style w:type="paragraph" w:styleId="CommentText">
    <w:name w:val="annotation text"/>
    <w:basedOn w:val="Normal"/>
    <w:link w:val="CommentTextChar"/>
    <w:uiPriority w:val="99"/>
    <w:semiHidden/>
    <w:unhideWhenUsed/>
    <w:rsid w:val="00532853"/>
    <w:rPr>
      <w:sz w:val="20"/>
    </w:rPr>
  </w:style>
  <w:style w:type="character" w:customStyle="1" w:styleId="CommentTextChar">
    <w:name w:val="Comment Text Char"/>
    <w:basedOn w:val="DefaultParagraphFont"/>
    <w:link w:val="CommentText"/>
    <w:uiPriority w:val="99"/>
    <w:semiHidden/>
    <w:rsid w:val="00532853"/>
    <w:rPr>
      <w:rFonts w:ascii="Arial" w:hAnsi="Arial"/>
    </w:rPr>
  </w:style>
  <w:style w:type="paragraph" w:styleId="CommentSubject">
    <w:name w:val="annotation subject"/>
    <w:basedOn w:val="CommentText"/>
    <w:next w:val="CommentText"/>
    <w:link w:val="CommentSubjectChar"/>
    <w:uiPriority w:val="99"/>
    <w:semiHidden/>
    <w:unhideWhenUsed/>
    <w:rsid w:val="00532853"/>
    <w:rPr>
      <w:b/>
      <w:bCs/>
    </w:rPr>
  </w:style>
  <w:style w:type="character" w:customStyle="1" w:styleId="CommentSubjectChar">
    <w:name w:val="Comment Subject Char"/>
    <w:basedOn w:val="CommentTextChar"/>
    <w:link w:val="CommentSubject"/>
    <w:uiPriority w:val="99"/>
    <w:semiHidden/>
    <w:rsid w:val="00532853"/>
    <w:rPr>
      <w:rFonts w:ascii="Arial" w:hAnsi="Arial"/>
      <w:b/>
      <w:bCs/>
    </w:rPr>
  </w:style>
  <w:style w:type="paragraph" w:styleId="FootnoteText">
    <w:name w:val="footnote text"/>
    <w:basedOn w:val="Normal"/>
    <w:link w:val="FootnoteTextChar"/>
    <w:unhideWhenUsed/>
    <w:rsid w:val="00053B9A"/>
    <w:pPr>
      <w:jc w:val="both"/>
    </w:pPr>
    <w:rPr>
      <w:rFonts w:ascii="Arial Narrow" w:eastAsia="MS Mincho" w:hAnsi="Arial Narrow" w:cs="Times New Roman"/>
      <w:sz w:val="20"/>
      <w:lang w:val="en-AU"/>
    </w:rPr>
  </w:style>
  <w:style w:type="character" w:customStyle="1" w:styleId="FootnoteTextChar">
    <w:name w:val="Footnote Text Char"/>
    <w:basedOn w:val="DefaultParagraphFont"/>
    <w:link w:val="FootnoteText"/>
    <w:rsid w:val="00053B9A"/>
    <w:rPr>
      <w:rFonts w:ascii="Arial Narrow" w:eastAsia="MS Mincho" w:hAnsi="Arial Narrow" w:cs="Times New Roman"/>
      <w:lang w:val="en-AU"/>
    </w:rPr>
  </w:style>
  <w:style w:type="character" w:styleId="FootnoteReference">
    <w:name w:val="footnote reference"/>
    <w:basedOn w:val="DefaultParagraphFont"/>
    <w:unhideWhenUsed/>
    <w:rsid w:val="00053B9A"/>
    <w:rPr>
      <w:vertAlign w:val="superscript"/>
    </w:rPr>
  </w:style>
  <w:style w:type="paragraph" w:styleId="Caption">
    <w:name w:val="caption"/>
    <w:basedOn w:val="Normal"/>
    <w:next w:val="Normal"/>
    <w:uiPriority w:val="35"/>
    <w:unhideWhenUsed/>
    <w:qFormat/>
    <w:rsid w:val="009E280C"/>
    <w:pPr>
      <w:spacing w:after="200"/>
    </w:pPr>
    <w:rPr>
      <w:i/>
      <w:iCs/>
      <w:color w:val="1F497D" w:themeColor="text2"/>
      <w:sz w:val="18"/>
      <w:szCs w:val="18"/>
    </w:rPr>
  </w:style>
  <w:style w:type="table" w:styleId="GridTable1Light-Accent1">
    <w:name w:val="Grid Table 1 Light Accent 1"/>
    <w:basedOn w:val="TableNormal"/>
    <w:uiPriority w:val="46"/>
    <w:rsid w:val="009E280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9E280C"/>
    <w:rPr>
      <w:sz w:val="22"/>
      <w:szCs w:val="22"/>
      <w:lang w:val="en-AU"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image" Target="media/image3.png" Id="rId1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2.xml" Id="rId14" /><Relationship Type="http://schemas.openxmlformats.org/officeDocument/2006/relationships/customXml" Target="/customXML/item4.xml" Id="Rbedd1b64b28449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3D2A87C8A9941445E0533AF0780A13BC" version="1.0.0">
  <systemFields>
    <field name="Objective-Id">
      <value order="0">A4590758</value>
    </field>
    <field name="Objective-Title">
      <value order="0">A4591209 Attachment C Report of the proposed draft Management Plan</value>
    </field>
    <field name="Objective-Description">
      <value order="0"/>
    </field>
    <field name="Objective-CreationStamp">
      <value order="0">2020-08-26T05:31:29Z</value>
    </field>
    <field name="Objective-IsApproved">
      <value order="0">false</value>
    </field>
    <field name="Objective-IsPublished">
      <value order="0">false</value>
    </field>
    <field name="Objective-DatePublished">
      <value order="0"/>
    </field>
    <field name="Objective-ModificationStamp">
      <value order="0">2020-11-05T01:42:46Z</value>
    </field>
    <field name="Objective-Owner">
      <value order="0">Jones, Annabel</value>
    </field>
    <field name="Objective-Path">
      <value order="0">Global Folder:Classified Object:Fisheries &amp; Aquaculture Governance:Ministerial Submissions:Ministerial Briefings:FISHERIES &amp; AQUACULTURE GOVERNANCE - Ministerial Submissions - Ministerial Briefings - Fisheries 2020:A4591209 Minute to MPIRD recommend draft NZRLF management plan for public consultation</value>
    </field>
    <field name="Objective-Parent">
      <value order="0">A4591209 Minute to MPIRD recommend draft NZRLF management plan for public consultation</value>
    </field>
    <field name="Objective-State">
      <value order="0">Being Drafted</value>
    </field>
    <field name="Objective-VersionId">
      <value order="0">vA7688485</value>
    </field>
    <field name="Objective-Version">
      <value order="0">1.2</value>
    </field>
    <field name="Objective-VersionNumber">
      <value order="0">8</value>
    </field>
    <field name="Objective-VersionComment">
      <value order="0"/>
    </field>
    <field name="Objective-FileNumber">
      <value order="0">FishAq F2020/000004</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Fisheries &amp; Aquaculture F&amp;A</value>
      </field>
      <field name="Objective-Workgroup">
        <value order="0">F&amp;A Fisheries Policy Team</value>
      </field>
      <field name="Objective-Section">
        <value order="0"/>
      </field>
      <field name="Objective-Document Type">
        <value order="0">Report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https://objectivesag.pirsa.sa.gov.au/id:A4590758/document/versions/published</value>
      </field>
      <field name="Objective-Intranet URL Keyword">
        <value order="0">%globals_asset_metadata_PublishedURL%</value>
      </field>
      <field name="Objective-Intranet Short Name">
        <value order="0">A4590758</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 name="Internal Briefings Workflow" type="user" ori="id:cA177">
      <field name="Objective-Ministerial File">
        <value order="0"/>
      </field>
      <field name="Objective-Briefing Type">
        <value order="0">Briefing already created</value>
      </field>
      <field name="Objective-Briefing Template">
        <value order="0">PIRSA Briefing</value>
      </field>
      <field name="Objective-File_Divider">
        <value order="0"/>
      </field>
      <field name="Objective-Requestor Type">
        <value order="0">Executive Assistant</value>
      </field>
      <field name="Objective-A Number">
        <value order="0">A4591209</value>
      </field>
      <field name="Objective-Final_Scanned_Document">
        <value order="0"/>
      </field>
      <field name="Objective-Letter Required">
        <value order="0">No</value>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760DD39-D033-4627-907D-A6FC2B5B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Robinson</dc:creator>
  <cp:keywords/>
  <dc:description/>
  <cp:lastModifiedBy>Tsoukalas, Joanna (PIRSA)</cp:lastModifiedBy>
  <cp:revision>18</cp:revision>
  <cp:lastPrinted>2019-10-24T01:18:00Z</cp:lastPrinted>
  <dcterms:created xsi:type="dcterms:W3CDTF">2020-08-26T06:31:00Z</dcterms:created>
  <dcterms:modified xsi:type="dcterms:W3CDTF">2020-11-05T01:39:00Z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A4590758</vt:lpwstr>
  </property>
  <property fmtid="{D5CDD505-2E9C-101B-9397-08002B2CF9AE}" pid="4" name="Objective-Title">
    <vt:lpwstr>A4591209 Attachment C Report of the proposed draft Management Plan</vt:lpwstr>
  </property>
  <property fmtid="{D5CDD505-2E9C-101B-9397-08002B2CF9AE}" pid="5" name="Objective-Description">
    <vt:lpwstr/>
  </property>
  <property fmtid="{D5CDD505-2E9C-101B-9397-08002B2CF9AE}" pid="6" name="Objective-CreationStamp">
    <vt:filetime>2020-08-27T00:41:52Z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2020-11-05T01:42:46Z</vt:filetime>
  </property>
  <property fmtid="{D5CDD505-2E9C-101B-9397-08002B2CF9AE}" pid="11" name="Objective-Owner">
    <vt:lpwstr>Jones, Annabel</vt:lpwstr>
  </property>
  <property fmtid="{D5CDD505-2E9C-101B-9397-08002B2CF9AE}" pid="12" name="Objective-Path">
    <vt:lpwstr>Fisheries &amp; Aquaculture Governance:Ministerial Submissions:Ministerial Briefings:FISHERIES &amp; AQUACULTURE GOVERNANCE - Ministerial Submissions - Ministerial Briefings - Fisheries 2020:A4591209 Minute to MPIRD recommend draft NZRLF management plan for public consultation:</vt:lpwstr>
  </property>
  <property fmtid="{D5CDD505-2E9C-101B-9397-08002B2CF9AE}" pid="13" name="Objective-Parent">
    <vt:lpwstr>A4591209 Minute to MPIRD recommend draft NZRLF management plan for public consultation</vt:lpwstr>
  </property>
  <property fmtid="{D5CDD505-2E9C-101B-9397-08002B2CF9AE}" pid="14" name="Objective-State">
    <vt:lpwstr>Being Drafted</vt:lpwstr>
  </property>
  <property fmtid="{D5CDD505-2E9C-101B-9397-08002B2CF9AE}" pid="15" name="Objective-VersionId">
    <vt:lpwstr>vA7688485</vt:lpwstr>
  </property>
  <property fmtid="{D5CDD505-2E9C-101B-9397-08002B2CF9AE}" pid="16" name="Objective-Version">
    <vt:lpwstr>1.2</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Fisheries &amp; Aquaculture F&amp;A</vt:lpwstr>
  </property>
  <property fmtid="{D5CDD505-2E9C-101B-9397-08002B2CF9AE}" pid="24" name="Objective-Workgroup">
    <vt:lpwstr>F&amp;A Fisheries Policy Team</vt:lpwstr>
  </property>
  <property fmtid="{D5CDD505-2E9C-101B-9397-08002B2CF9AE}" pid="25" name="Objective-Section">
    <vt:lpwstr/>
  </property>
  <property fmtid="{D5CDD505-2E9C-101B-9397-08002B2CF9AE}" pid="26" name="Objective-Document Type">
    <vt:lpwstr>Report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https://objectivesag.pirsa.sa.gov.au/id:A4590758/document/versions/published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A4590758</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Fisheries &amp; Aquaculture F&amp;A</vt:lpwstr>
  </property>
  <property fmtid="{D5CDD505-2E9C-101B-9397-08002B2CF9AE}" pid="117" name="Objective-Workgroup [system]">
    <vt:lpwstr>F&amp;A Fisheries Policy Team</vt:lpwstr>
  </property>
  <property fmtid="{D5CDD505-2E9C-101B-9397-08002B2CF9AE}" pid="118" name="Objective-Section [system]">
    <vt:lpwstr/>
  </property>
  <property fmtid="{D5CDD505-2E9C-101B-9397-08002B2CF9AE}" pid="119" name="Objective-Document Type [system]">
    <vt:lpwstr>Report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https://objectivesag.pirsa.sa.gov.au/id:A4590758/document/versions/published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A4590758</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Objective-Ministerial File">
    <vt:lpwstr/>
  </property>
  <property fmtid="{D5CDD505-2E9C-101B-9397-08002B2CF9AE}" pid="208" name="Objective-Briefing Type">
    <vt:lpwstr>Briefing already created</vt:lpwstr>
  </property>
  <property fmtid="{D5CDD505-2E9C-101B-9397-08002B2CF9AE}" pid="209" name="Objective-Briefing Template">
    <vt:lpwstr>PIRSA Briefing</vt:lpwstr>
  </property>
  <property fmtid="{D5CDD505-2E9C-101B-9397-08002B2CF9AE}" pid="210" name="Objective-File_Divider">
    <vt:lpwstr/>
  </property>
  <property fmtid="{D5CDD505-2E9C-101B-9397-08002B2CF9AE}" pid="211" name="Objective-Requestor Type">
    <vt:lpwstr>Executive Assistant</vt:lpwstr>
  </property>
  <property fmtid="{D5CDD505-2E9C-101B-9397-08002B2CF9AE}" pid="212" name="Objective-A Number">
    <vt:lpwstr>A4591209</vt:lpwstr>
  </property>
  <property fmtid="{D5CDD505-2E9C-101B-9397-08002B2CF9AE}" pid="213" name="Objective-Final_Scanned_Document">
    <vt:lpwstr/>
  </property>
  <property fmtid="{D5CDD505-2E9C-101B-9397-08002B2CF9AE}" pid="214" name="Objective-Letter Required">
    <vt:lpwstr>No</vt:lpwstr>
  </property>
</Properties>
</file>