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BF" w:rsidRPr="005A75BF" w:rsidRDefault="005A75BF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5A75BF">
        <w:rPr>
          <w:rFonts w:ascii="Arial" w:hAnsi="Arial" w:cs="Arial"/>
          <w:b/>
          <w:color w:val="365F91" w:themeColor="accent1" w:themeShade="BF"/>
          <w:sz w:val="32"/>
          <w:szCs w:val="32"/>
        </w:rPr>
        <w:t>BULK HANDLING OF GRAIN (DIRECTORS) AMENDMENT BILL 1996</w:t>
      </w:r>
    </w:p>
    <w:p w:rsidR="005A75BF" w:rsidRPr="005A75BF" w:rsidRDefault="005A75B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A75BF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27 November 1996, page 661</w:t>
      </w:r>
    </w:p>
    <w:p w:rsidR="005A75BF" w:rsidRPr="005A75BF" w:rsidRDefault="005A75BF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A75BF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b/>
          <w:sz w:val="24"/>
          <w:szCs w:val="24"/>
        </w:rPr>
        <w:t>The Hon. R.G. KERIN (Minister for Primary Industries</w:t>
      </w:r>
      <w:r w:rsidRPr="005A75BF">
        <w:rPr>
          <w:rFonts w:ascii="Arial" w:hAnsi="Arial" w:cs="Arial"/>
          <w:sz w:val="24"/>
          <w:szCs w:val="24"/>
        </w:rPr>
        <w:t xml:space="preserve">) obtained leave and introduced a Bill for an Act to amend the Bulk Handling of Grain Act 1955. Read a first time.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The Hon. R.G. KERIN: I move: That this Bill be now read a second time. </w:t>
      </w:r>
      <w:r>
        <w:rPr>
          <w:rFonts w:ascii="Arial" w:hAnsi="Arial" w:cs="Arial"/>
          <w:sz w:val="24"/>
          <w:szCs w:val="24"/>
        </w:rPr>
        <w:t>\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I seek leave to have the second reading explanation inserted in Hansard without my reading it. Leave granted.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The Bulk Handling of Grain Act 1955 was designed to meet strong imperatives for the substitution of an archaic system of bagged grain with a system of bulk handling. 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The measure was most appropriate to the conditions then in existence.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To strategically position itself for the changing economic and competitive environment now affecting the Australian grains industry, South Australian Cooperative Bulk Handling Limited (SACBH) wish to make a number of non contentious amendments to their Memorandum and Articles of Association. This Bill aims to accommodate those wishes.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The Bill would see the deletion of section 5 (Directors), 6 (Director’s remuneration), and 7 (Disagreement between Directors) from the Act. 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The inclusion of these as amendments to SACBH’s Articles of Association under the Corporations Law was approved at an Extra-ordinary General Meeting of the Company on 29 October 1996. That approval was prefaced by 14 meetings around the State seeking growers’ permission to make such changes.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>SACBH was originally established as an unlisted public company limited by guarantee and registered under the Corporations Law.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 It has no authorised or issued share capital.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Legal advice is that with deletion of the above sections from the Act the behaviour of directors would be guided by corporate law. 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The proposal is of no great significance from a Government view point.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For the longer term the government has scheduled a review in 1997-98 of the Bulk Handling of Grain Act, to meet the Government’s obligations under the Competition Principles Agreement. 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The review will explore the need for an Act which in light of </w:t>
      </w:r>
      <w:r w:rsidRPr="005A75BF">
        <w:rPr>
          <w:rFonts w:ascii="Arial" w:hAnsi="Arial" w:cs="Arial"/>
          <w:sz w:val="24"/>
          <w:szCs w:val="24"/>
        </w:rPr>
        <w:lastRenderedPageBreak/>
        <w:t>those principles, is highly contentious and will take some time to sort out.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 As a consequence, it has been agreed with industry to proceed with a bill to delete the less contentious sections of the Act, that is to say sections 5, 6 and 7.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In conclusion it is pointed out that passage of the bill holds no financial implications for the Government.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Explanation of Clauses </w:t>
      </w:r>
    </w:p>
    <w:p w:rsidR="005A75BF" w:rsidRPr="005A75BF" w:rsidRDefault="005A75BF">
      <w:pPr>
        <w:rPr>
          <w:rFonts w:ascii="Arial" w:hAnsi="Arial" w:cs="Arial"/>
          <w:i/>
          <w:sz w:val="24"/>
          <w:szCs w:val="24"/>
        </w:rPr>
      </w:pPr>
      <w:r w:rsidRPr="005A75BF">
        <w:rPr>
          <w:rFonts w:ascii="Arial" w:hAnsi="Arial" w:cs="Arial"/>
          <w:i/>
          <w:sz w:val="24"/>
          <w:szCs w:val="24"/>
        </w:rPr>
        <w:t xml:space="preserve">Clause 1 : Short title </w:t>
      </w:r>
    </w:p>
    <w:p w:rsidR="005A75BF" w:rsidRPr="005A75BF" w:rsidRDefault="005A75BF">
      <w:pPr>
        <w:rPr>
          <w:rFonts w:ascii="Arial" w:hAnsi="Arial" w:cs="Arial"/>
          <w:i/>
          <w:sz w:val="24"/>
          <w:szCs w:val="24"/>
        </w:rPr>
      </w:pPr>
      <w:r w:rsidRPr="005A75BF">
        <w:rPr>
          <w:rFonts w:ascii="Arial" w:hAnsi="Arial" w:cs="Arial"/>
          <w:i/>
          <w:sz w:val="24"/>
          <w:szCs w:val="24"/>
        </w:rPr>
        <w:t xml:space="preserve">Clause 2: Commencement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 xml:space="preserve">Clauses 1 and 2 are formal. </w:t>
      </w:r>
    </w:p>
    <w:p w:rsidR="005A75BF" w:rsidRPr="005A75BF" w:rsidRDefault="005A75BF">
      <w:pPr>
        <w:rPr>
          <w:rFonts w:ascii="Arial" w:hAnsi="Arial" w:cs="Arial"/>
          <w:i/>
          <w:sz w:val="24"/>
          <w:szCs w:val="24"/>
        </w:rPr>
      </w:pPr>
      <w:r w:rsidRPr="005A75BF">
        <w:rPr>
          <w:rFonts w:ascii="Arial" w:hAnsi="Arial" w:cs="Arial"/>
          <w:i/>
          <w:sz w:val="24"/>
          <w:szCs w:val="24"/>
        </w:rPr>
        <w:t xml:space="preserve">Clause 3: Repeal of ss. 5 to 7 </w:t>
      </w:r>
    </w:p>
    <w:p w:rsid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>Clause 3 repeals the sections in the principal Act that deal with Directors, their remuneration and disagreement between them.</w:t>
      </w:r>
      <w:r>
        <w:rPr>
          <w:rFonts w:ascii="Arial" w:hAnsi="Arial" w:cs="Arial"/>
          <w:sz w:val="24"/>
          <w:szCs w:val="24"/>
        </w:rPr>
        <w:t xml:space="preserve"> </w:t>
      </w:r>
      <w:r w:rsidRPr="005A75BF">
        <w:rPr>
          <w:rFonts w:ascii="Arial" w:hAnsi="Arial" w:cs="Arial"/>
          <w:sz w:val="24"/>
          <w:szCs w:val="24"/>
        </w:rPr>
        <w:t xml:space="preserve"> These matters will now be covered by the Corporations Law. </w:t>
      </w:r>
    </w:p>
    <w:p w:rsidR="00CD6DB5" w:rsidRPr="005A75BF" w:rsidRDefault="005A75BF">
      <w:pPr>
        <w:rPr>
          <w:rFonts w:ascii="Arial" w:hAnsi="Arial" w:cs="Arial"/>
          <w:sz w:val="24"/>
          <w:szCs w:val="24"/>
        </w:rPr>
      </w:pPr>
      <w:r w:rsidRPr="005A75BF">
        <w:rPr>
          <w:rFonts w:ascii="Arial" w:hAnsi="Arial" w:cs="Arial"/>
          <w:sz w:val="24"/>
          <w:szCs w:val="24"/>
        </w:rPr>
        <w:t>Mr CLARKE secured the adjournment of the debate.</w:t>
      </w:r>
    </w:p>
    <w:sectPr w:rsidR="00CD6DB5" w:rsidRPr="005A75BF" w:rsidSect="00CD6D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FA7" w:rsidRDefault="00FC6FA7" w:rsidP="005A75BF">
      <w:pPr>
        <w:spacing w:after="0" w:line="240" w:lineRule="auto"/>
      </w:pPr>
      <w:r>
        <w:separator/>
      </w:r>
    </w:p>
  </w:endnote>
  <w:endnote w:type="continuationSeparator" w:id="1">
    <w:p w:rsidR="00FC6FA7" w:rsidRDefault="00FC6FA7" w:rsidP="005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BF" w:rsidRDefault="005A75BF" w:rsidP="005A75BF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5A75BF" w:rsidRDefault="005A7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FA7" w:rsidRDefault="00FC6FA7" w:rsidP="005A75BF">
      <w:pPr>
        <w:spacing w:after="0" w:line="240" w:lineRule="auto"/>
      </w:pPr>
      <w:r>
        <w:separator/>
      </w:r>
    </w:p>
  </w:footnote>
  <w:footnote w:type="continuationSeparator" w:id="1">
    <w:p w:rsidR="00FC6FA7" w:rsidRDefault="00FC6FA7" w:rsidP="005A7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5BF"/>
    <w:rsid w:val="005A75BF"/>
    <w:rsid w:val="00CD6DB5"/>
    <w:rsid w:val="00FC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5BF"/>
  </w:style>
  <w:style w:type="paragraph" w:styleId="Footer">
    <w:name w:val="footer"/>
    <w:basedOn w:val="Normal"/>
    <w:link w:val="FooterChar"/>
    <w:uiPriority w:val="99"/>
    <w:semiHidden/>
    <w:unhideWhenUsed/>
    <w:rsid w:val="005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2020-11-01T23:45:00Z</dcterms:created>
  <dcterms:modified xsi:type="dcterms:W3CDTF">2020-11-01T23:50:00Z</dcterms:modified>
</cp:coreProperties>
</file>