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4526"/>
        <w:gridCol w:w="4544"/>
      </w:tblGrid>
      <w:tr w:rsidR="00895535" w:rsidRPr="00895535" w:rsidTr="002D7201">
        <w:trPr>
          <w:trHeight w:val="850"/>
          <w:tblHeader/>
        </w:trPr>
        <w:tc>
          <w:tcPr>
            <w:tcW w:w="4672" w:type="dxa"/>
            <w:shd w:val="clear" w:color="auto" w:fill="00427A"/>
          </w:tcPr>
          <w:p w:rsidR="00895535" w:rsidRPr="00895535" w:rsidRDefault="00895535" w:rsidP="00895535">
            <w:pPr>
              <w:pStyle w:val="Table1"/>
              <w:spacing w:before="240" w:after="240" w:line="240" w:lineRule="auto"/>
              <w:rPr>
                <w:color w:val="FFFFFF" w:themeColor="background1"/>
                <w:sz w:val="72"/>
                <w:szCs w:val="72"/>
              </w:rPr>
            </w:pPr>
            <w:bookmarkStart w:id="0" w:name="_GoBack"/>
            <w:bookmarkEnd w:id="0"/>
            <w:r w:rsidRPr="00895535">
              <w:rPr>
                <w:color w:val="FFFFFF" w:themeColor="background1"/>
                <w:sz w:val="72"/>
                <w:szCs w:val="72"/>
              </w:rPr>
              <w:t>Policy</w:t>
            </w:r>
          </w:p>
        </w:tc>
        <w:tc>
          <w:tcPr>
            <w:tcW w:w="4673" w:type="dxa"/>
            <w:shd w:val="clear" w:color="auto" w:fill="00427A"/>
            <w:vAlign w:val="center"/>
          </w:tcPr>
          <w:p w:rsidR="00895535" w:rsidRPr="00895535" w:rsidRDefault="00895535" w:rsidP="00895535">
            <w:pPr>
              <w:pStyle w:val="Table1"/>
              <w:spacing w:before="240" w:after="240" w:line="240" w:lineRule="auto"/>
              <w:jc w:val="right"/>
              <w:rPr>
                <w:b/>
                <w:color w:val="FFFFFF" w:themeColor="background1"/>
                <w:sz w:val="72"/>
                <w:szCs w:val="72"/>
              </w:rPr>
            </w:pPr>
            <w:r w:rsidRPr="00895535">
              <w:rPr>
                <w:b/>
                <w:color w:val="FFFFFF" w:themeColor="background1"/>
                <w:sz w:val="72"/>
                <w:szCs w:val="72"/>
              </w:rPr>
              <w:t>PIRSA</w:t>
            </w:r>
          </w:p>
        </w:tc>
      </w:tr>
    </w:tbl>
    <w:p w:rsidR="005A7116" w:rsidRPr="003113AF" w:rsidRDefault="00E8204E" w:rsidP="003C28AF">
      <w:pPr>
        <w:pStyle w:val="Table1"/>
        <w:spacing w:before="240"/>
        <w:jc w:val="right"/>
        <w:rPr>
          <w:b/>
        </w:rPr>
      </w:pPr>
      <w:r>
        <w:rPr>
          <w:b/>
        </w:rPr>
        <w:t>GO P 014</w:t>
      </w:r>
    </w:p>
    <w:p w:rsidR="00127BF5" w:rsidRPr="004E66A7" w:rsidRDefault="00127BF5" w:rsidP="004E66A7">
      <w:pPr>
        <w:rPr>
          <w:sz w:val="44"/>
          <w:szCs w:val="44"/>
        </w:rPr>
      </w:pPr>
      <w:bookmarkStart w:id="1" w:name="OBJCUSTOM_REFRESH"/>
      <w:bookmarkEnd w:id="1"/>
    </w:p>
    <w:p w:rsidR="00127BF5" w:rsidRPr="004E66A7" w:rsidRDefault="00127BF5" w:rsidP="004E66A7">
      <w:pPr>
        <w:rPr>
          <w:sz w:val="44"/>
          <w:szCs w:val="44"/>
        </w:rPr>
      </w:pPr>
    </w:p>
    <w:p w:rsidR="00B37A6E" w:rsidRPr="004100BB" w:rsidRDefault="00127BF5" w:rsidP="009A2885">
      <w:pPr>
        <w:pStyle w:val="PPGSTitle"/>
        <w:spacing w:before="240"/>
        <w:rPr>
          <w:b w:val="0"/>
          <w:color w:val="auto"/>
          <w:sz w:val="24"/>
          <w:szCs w:val="24"/>
        </w:rPr>
      </w:pPr>
      <w:r>
        <w:t>pirsa cost recovery policy</w:t>
      </w:r>
    </w:p>
    <w:p w:rsidR="00B838C2" w:rsidRDefault="00B838C2" w:rsidP="00B838C2"/>
    <w:tbl>
      <w:tblPr>
        <w:tblpPr w:leftFromText="181" w:rightFromText="181" w:vertAnchor="page" w:tblpXSpec="center" w:tblpY="11341"/>
        <w:tblOverlap w:val="never"/>
        <w:tblW w:w="1034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CellMar>
          <w:left w:w="28" w:type="dxa"/>
          <w:right w:w="28" w:type="dxa"/>
        </w:tblCellMar>
        <w:tblLook w:val="01E0" w:firstRow="1" w:lastRow="1" w:firstColumn="1" w:lastColumn="1" w:noHBand="0" w:noVBand="0"/>
        <w:tblCaption w:val="Document Control section table"/>
        <w:tblDescription w:val="This table lists document control information such as the PPGS owner, contact, approver, date approved, next review date, version number, EDRMS file and document numbers, status and security classification."/>
      </w:tblPr>
      <w:tblGrid>
        <w:gridCol w:w="1446"/>
        <w:gridCol w:w="1984"/>
        <w:gridCol w:w="1134"/>
        <w:gridCol w:w="1957"/>
        <w:gridCol w:w="1701"/>
        <w:gridCol w:w="2126"/>
      </w:tblGrid>
      <w:tr w:rsidR="002D7201" w:rsidRPr="002D7201" w:rsidTr="008F3769">
        <w:trPr>
          <w:cantSplit/>
        </w:trPr>
        <w:tc>
          <w:tcPr>
            <w:tcW w:w="10348" w:type="dxa"/>
            <w:gridSpan w:val="6"/>
            <w:tcBorders>
              <w:top w:val="nil"/>
            </w:tcBorders>
            <w:shd w:val="clear" w:color="auto" w:fill="00427A"/>
          </w:tcPr>
          <w:p w:rsidR="002D7201" w:rsidRPr="002D7201" w:rsidRDefault="002D7201" w:rsidP="009C5D93">
            <w:pPr>
              <w:pStyle w:val="Documentcontrol"/>
              <w:keepNext/>
              <w:keepLines/>
              <w:rPr>
                <w:color w:val="FFFFFF" w:themeColor="background1"/>
              </w:rPr>
            </w:pPr>
            <w:r w:rsidRPr="002D7201">
              <w:rPr>
                <w:color w:val="FFFFFF" w:themeColor="background1"/>
                <w:sz w:val="22"/>
              </w:rPr>
              <w:t>Document Control</w:t>
            </w:r>
          </w:p>
        </w:tc>
      </w:tr>
      <w:tr w:rsidR="002D7201" w:rsidRPr="00343454" w:rsidTr="00731958">
        <w:trPr>
          <w:cantSplit/>
          <w:trHeight w:hRule="exact" w:val="791"/>
        </w:trPr>
        <w:tc>
          <w:tcPr>
            <w:tcW w:w="1446" w:type="dxa"/>
            <w:tcMar>
              <w:left w:w="0" w:type="dxa"/>
              <w:right w:w="0" w:type="dxa"/>
            </w:tcMar>
          </w:tcPr>
          <w:p w:rsidR="002D7201" w:rsidRPr="0096597E" w:rsidRDefault="002D7201" w:rsidP="009C5D93">
            <w:pPr>
              <w:pStyle w:val="Table2"/>
              <w:keepNext/>
              <w:keepLines/>
              <w:framePr w:hSpace="0" w:wrap="auto" w:vAnchor="margin" w:xAlign="left" w:yAlign="inline"/>
              <w:suppressOverlap w:val="0"/>
              <w:rPr>
                <w:b/>
              </w:rPr>
            </w:pPr>
            <w:r w:rsidRPr="0096597E">
              <w:rPr>
                <w:b/>
              </w:rPr>
              <w:t>PPGS Owner Workgroup:</w:t>
            </w:r>
          </w:p>
        </w:tc>
        <w:tc>
          <w:tcPr>
            <w:tcW w:w="1984" w:type="dxa"/>
            <w:tcMar>
              <w:left w:w="0" w:type="dxa"/>
              <w:right w:w="0" w:type="dxa"/>
            </w:tcMar>
          </w:tcPr>
          <w:p w:rsidR="002D7201" w:rsidRPr="00B428EC" w:rsidRDefault="00B428EC" w:rsidP="009C5D93">
            <w:pPr>
              <w:pStyle w:val="Table2"/>
              <w:keepNext/>
              <w:keepLines/>
              <w:framePr w:hSpace="0" w:wrap="auto" w:vAnchor="margin" w:xAlign="left" w:yAlign="inline"/>
              <w:suppressOverlap w:val="0"/>
              <w:rPr>
                <w:sz w:val="20"/>
                <w:szCs w:val="20"/>
              </w:rPr>
            </w:pPr>
            <w:r>
              <w:rPr>
                <w:sz w:val="20"/>
                <w:szCs w:val="20"/>
              </w:rPr>
              <w:t>Office of the Chief Executive</w:t>
            </w:r>
            <w:r w:rsidR="002D7201" w:rsidRPr="00B428EC">
              <w:rPr>
                <w:sz w:val="20"/>
                <w:szCs w:val="20"/>
              </w:rPr>
              <w:t xml:space="preserve"> </w:t>
            </w:r>
          </w:p>
        </w:tc>
        <w:tc>
          <w:tcPr>
            <w:tcW w:w="1134" w:type="dxa"/>
            <w:tcMar>
              <w:left w:w="0" w:type="dxa"/>
              <w:right w:w="0" w:type="dxa"/>
            </w:tcMar>
          </w:tcPr>
          <w:p w:rsidR="002D7201" w:rsidRPr="00B428EC" w:rsidRDefault="002D7201" w:rsidP="009C5D93">
            <w:pPr>
              <w:pStyle w:val="Table2"/>
              <w:keepNext/>
              <w:keepLines/>
              <w:framePr w:hSpace="0" w:wrap="auto" w:vAnchor="margin" w:xAlign="left" w:yAlign="inline"/>
              <w:suppressOverlap w:val="0"/>
              <w:rPr>
                <w:b/>
                <w:sz w:val="20"/>
                <w:szCs w:val="20"/>
              </w:rPr>
            </w:pPr>
            <w:r w:rsidRPr="00B428EC">
              <w:rPr>
                <w:b/>
                <w:sz w:val="20"/>
                <w:szCs w:val="20"/>
              </w:rPr>
              <w:t>PPGS Owner:</w:t>
            </w:r>
          </w:p>
        </w:tc>
        <w:tc>
          <w:tcPr>
            <w:tcW w:w="1957" w:type="dxa"/>
            <w:tcMar>
              <w:left w:w="0" w:type="dxa"/>
              <w:right w:w="0" w:type="dxa"/>
            </w:tcMar>
          </w:tcPr>
          <w:p w:rsidR="002D7201" w:rsidRPr="00B428EC" w:rsidRDefault="00B428EC" w:rsidP="009C5D93">
            <w:pPr>
              <w:pStyle w:val="Table2"/>
              <w:keepNext/>
              <w:keepLines/>
              <w:framePr w:hSpace="0" w:wrap="auto" w:vAnchor="margin" w:xAlign="left" w:yAlign="inline"/>
              <w:suppressOverlap w:val="0"/>
              <w:rPr>
                <w:sz w:val="20"/>
                <w:szCs w:val="20"/>
              </w:rPr>
            </w:pPr>
            <w:r>
              <w:rPr>
                <w:sz w:val="20"/>
                <w:szCs w:val="20"/>
              </w:rPr>
              <w:t>Deputy Chief Executive</w:t>
            </w:r>
          </w:p>
        </w:tc>
        <w:tc>
          <w:tcPr>
            <w:tcW w:w="1701" w:type="dxa"/>
            <w:tcMar>
              <w:left w:w="0" w:type="dxa"/>
              <w:right w:w="0" w:type="dxa"/>
            </w:tcMar>
          </w:tcPr>
          <w:p w:rsidR="00731958" w:rsidRPr="00B428EC" w:rsidRDefault="002D7201" w:rsidP="009C5D93">
            <w:pPr>
              <w:pStyle w:val="Table2"/>
              <w:keepNext/>
              <w:keepLines/>
              <w:framePr w:hSpace="0" w:wrap="auto" w:vAnchor="margin" w:xAlign="left" w:yAlign="inline"/>
              <w:suppressOverlap w:val="0"/>
              <w:rPr>
                <w:b/>
                <w:sz w:val="20"/>
                <w:szCs w:val="20"/>
              </w:rPr>
            </w:pPr>
            <w:r w:rsidRPr="00B428EC">
              <w:rPr>
                <w:b/>
                <w:sz w:val="20"/>
                <w:szCs w:val="20"/>
              </w:rPr>
              <w:t>PPGS Risk Rating</w:t>
            </w:r>
          </w:p>
          <w:p w:rsidR="002D7201" w:rsidRPr="00B428EC" w:rsidRDefault="002D7201" w:rsidP="009C5D93">
            <w:pPr>
              <w:pStyle w:val="Table2"/>
              <w:keepNext/>
              <w:keepLines/>
              <w:framePr w:hSpace="0" w:wrap="auto" w:vAnchor="margin" w:xAlign="left" w:yAlign="inline"/>
              <w:suppressOverlap w:val="0"/>
              <w:rPr>
                <w:b/>
                <w:sz w:val="20"/>
                <w:szCs w:val="20"/>
              </w:rPr>
            </w:pPr>
            <w:r w:rsidRPr="00B428EC">
              <w:rPr>
                <w:b/>
                <w:sz w:val="20"/>
                <w:szCs w:val="20"/>
              </w:rPr>
              <w:t>&amp; Review Cycle:</w:t>
            </w:r>
          </w:p>
        </w:tc>
        <w:tc>
          <w:tcPr>
            <w:tcW w:w="2126" w:type="dxa"/>
            <w:tcMar>
              <w:left w:w="0" w:type="dxa"/>
              <w:right w:w="0" w:type="dxa"/>
            </w:tcMar>
          </w:tcPr>
          <w:p w:rsidR="002D7201" w:rsidRPr="00B428EC" w:rsidRDefault="00F10C98" w:rsidP="009C5D93">
            <w:pPr>
              <w:pStyle w:val="Table2"/>
              <w:keepNext/>
              <w:keepLines/>
              <w:framePr w:hSpace="0" w:wrap="auto" w:vAnchor="margin" w:xAlign="left" w:yAlign="inline"/>
              <w:suppressOverlap w:val="0"/>
              <w:rPr>
                <w:sz w:val="20"/>
                <w:szCs w:val="20"/>
              </w:rPr>
            </w:pPr>
            <w:r w:rsidRPr="00F10C98">
              <w:rPr>
                <w:sz w:val="20"/>
                <w:szCs w:val="20"/>
              </w:rPr>
              <w:t>Medium</w:t>
            </w:r>
          </w:p>
          <w:p w:rsidR="002D7201" w:rsidRPr="00B428EC" w:rsidRDefault="00F10C98" w:rsidP="00F10C98">
            <w:pPr>
              <w:pStyle w:val="Table2"/>
              <w:keepNext/>
              <w:keepLines/>
              <w:framePr w:hSpace="0" w:wrap="auto" w:vAnchor="margin" w:xAlign="left" w:yAlign="inline"/>
              <w:suppressOverlap w:val="0"/>
              <w:rPr>
                <w:sz w:val="20"/>
                <w:szCs w:val="20"/>
              </w:rPr>
            </w:pPr>
            <w:r>
              <w:rPr>
                <w:sz w:val="20"/>
                <w:szCs w:val="20"/>
              </w:rPr>
              <w:t>4 years</w:t>
            </w:r>
          </w:p>
        </w:tc>
      </w:tr>
      <w:tr w:rsidR="002D7201" w:rsidRPr="00343454" w:rsidTr="0050744A">
        <w:trPr>
          <w:cantSplit/>
          <w:trHeight w:hRule="exact" w:val="705"/>
        </w:trPr>
        <w:tc>
          <w:tcPr>
            <w:tcW w:w="1446" w:type="dxa"/>
            <w:tcMar>
              <w:left w:w="0" w:type="dxa"/>
              <w:right w:w="0" w:type="dxa"/>
            </w:tcMar>
          </w:tcPr>
          <w:p w:rsidR="002D7201" w:rsidRPr="0096597E" w:rsidRDefault="002D7201" w:rsidP="009C5D93">
            <w:pPr>
              <w:pStyle w:val="Table2"/>
              <w:keepNext/>
              <w:keepLines/>
              <w:framePr w:hSpace="0" w:wrap="auto" w:vAnchor="margin" w:xAlign="left" w:yAlign="inline"/>
              <w:suppressOverlap w:val="0"/>
              <w:rPr>
                <w:b/>
              </w:rPr>
            </w:pPr>
            <w:r w:rsidRPr="0096597E">
              <w:rPr>
                <w:b/>
              </w:rPr>
              <w:t>PPGS Contact Name:</w:t>
            </w:r>
          </w:p>
        </w:tc>
        <w:tc>
          <w:tcPr>
            <w:tcW w:w="1984" w:type="dxa"/>
            <w:tcMar>
              <w:left w:w="0" w:type="dxa"/>
              <w:right w:w="0" w:type="dxa"/>
            </w:tcMar>
          </w:tcPr>
          <w:p w:rsidR="002D7201" w:rsidRPr="00B428EC" w:rsidRDefault="00652FDD" w:rsidP="009C5D93">
            <w:pPr>
              <w:pStyle w:val="Table2"/>
              <w:keepNext/>
              <w:keepLines/>
              <w:framePr w:hSpace="0" w:wrap="auto" w:vAnchor="margin" w:xAlign="left" w:yAlign="inline"/>
              <w:suppressOverlap w:val="0"/>
              <w:rPr>
                <w:sz w:val="20"/>
                <w:szCs w:val="20"/>
              </w:rPr>
            </w:pPr>
            <w:r>
              <w:rPr>
                <w:sz w:val="20"/>
                <w:szCs w:val="20"/>
              </w:rPr>
              <w:t>Darren Humphrys</w:t>
            </w:r>
          </w:p>
        </w:tc>
        <w:tc>
          <w:tcPr>
            <w:tcW w:w="1134" w:type="dxa"/>
            <w:tcMar>
              <w:left w:w="0" w:type="dxa"/>
              <w:right w:w="0" w:type="dxa"/>
            </w:tcMar>
          </w:tcPr>
          <w:p w:rsidR="002D7201" w:rsidRPr="00B428EC" w:rsidRDefault="002D7201" w:rsidP="009C5D93">
            <w:pPr>
              <w:pStyle w:val="Table2"/>
              <w:keepNext/>
              <w:keepLines/>
              <w:framePr w:hSpace="0" w:wrap="auto" w:vAnchor="margin" w:xAlign="left" w:yAlign="inline"/>
              <w:suppressOverlap w:val="0"/>
              <w:rPr>
                <w:b/>
                <w:sz w:val="20"/>
                <w:szCs w:val="20"/>
              </w:rPr>
            </w:pPr>
            <w:r w:rsidRPr="00B428EC">
              <w:rPr>
                <w:b/>
                <w:sz w:val="20"/>
                <w:szCs w:val="20"/>
              </w:rPr>
              <w:t>PPGS Approver:</w:t>
            </w:r>
          </w:p>
        </w:tc>
        <w:tc>
          <w:tcPr>
            <w:tcW w:w="1957" w:type="dxa"/>
            <w:tcMar>
              <w:left w:w="0" w:type="dxa"/>
              <w:right w:w="0" w:type="dxa"/>
            </w:tcMar>
          </w:tcPr>
          <w:p w:rsidR="002D7201" w:rsidRPr="00B428EC" w:rsidRDefault="00B428EC" w:rsidP="009C5D93">
            <w:pPr>
              <w:pStyle w:val="Table2"/>
              <w:keepNext/>
              <w:keepLines/>
              <w:framePr w:hSpace="0" w:wrap="auto" w:vAnchor="margin" w:xAlign="left" w:yAlign="inline"/>
              <w:suppressOverlap w:val="0"/>
              <w:rPr>
                <w:sz w:val="20"/>
                <w:szCs w:val="20"/>
              </w:rPr>
            </w:pPr>
            <w:r>
              <w:rPr>
                <w:sz w:val="20"/>
                <w:szCs w:val="20"/>
              </w:rPr>
              <w:t>Chief Executive</w:t>
            </w:r>
          </w:p>
        </w:tc>
        <w:tc>
          <w:tcPr>
            <w:tcW w:w="1701" w:type="dxa"/>
            <w:tcMar>
              <w:left w:w="0" w:type="dxa"/>
              <w:right w:w="0" w:type="dxa"/>
            </w:tcMar>
          </w:tcPr>
          <w:p w:rsidR="002D7201" w:rsidRPr="00B428EC" w:rsidRDefault="002D7201" w:rsidP="009C5D93">
            <w:pPr>
              <w:pStyle w:val="Table2"/>
              <w:keepNext/>
              <w:keepLines/>
              <w:framePr w:hSpace="0" w:wrap="auto" w:vAnchor="margin" w:xAlign="left" w:yAlign="inline"/>
              <w:suppressOverlap w:val="0"/>
              <w:rPr>
                <w:b/>
                <w:sz w:val="20"/>
                <w:szCs w:val="20"/>
              </w:rPr>
            </w:pPr>
            <w:r w:rsidRPr="00B428EC">
              <w:rPr>
                <w:b/>
                <w:sz w:val="20"/>
                <w:szCs w:val="20"/>
              </w:rPr>
              <w:t>Objective File &amp; Document No.:</w:t>
            </w:r>
          </w:p>
        </w:tc>
        <w:tc>
          <w:tcPr>
            <w:tcW w:w="2126" w:type="dxa"/>
            <w:tcMar>
              <w:left w:w="0" w:type="dxa"/>
              <w:right w:w="0" w:type="dxa"/>
            </w:tcMar>
          </w:tcPr>
          <w:p w:rsidR="00652FDD" w:rsidRPr="00926396" w:rsidRDefault="00652FDD" w:rsidP="00652FDD">
            <w:pPr>
              <w:pStyle w:val="Documentcontroltext"/>
              <w:rPr>
                <w:szCs w:val="18"/>
              </w:rPr>
            </w:pPr>
            <w:r>
              <w:rPr>
                <w:szCs w:val="18"/>
              </w:rPr>
              <w:t>CORP F2010/001094</w:t>
            </w:r>
          </w:p>
          <w:p w:rsidR="00B428EC" w:rsidRPr="00B428EC" w:rsidRDefault="00652FDD" w:rsidP="00652FDD">
            <w:pPr>
              <w:pStyle w:val="PPGSFileDocNo"/>
              <w:keepNext/>
              <w:keepLines/>
              <w:rPr>
                <w:sz w:val="20"/>
                <w:szCs w:val="20"/>
              </w:rPr>
            </w:pPr>
            <w:r>
              <w:t>A756953</w:t>
            </w:r>
          </w:p>
        </w:tc>
      </w:tr>
      <w:tr w:rsidR="002D7201" w:rsidRPr="00343454" w:rsidTr="00B428EC">
        <w:trPr>
          <w:cantSplit/>
          <w:trHeight w:hRule="exact" w:val="991"/>
        </w:trPr>
        <w:tc>
          <w:tcPr>
            <w:tcW w:w="1446" w:type="dxa"/>
            <w:tcMar>
              <w:left w:w="0" w:type="dxa"/>
              <w:right w:w="0" w:type="dxa"/>
            </w:tcMar>
          </w:tcPr>
          <w:p w:rsidR="002D7201" w:rsidRPr="0096597E" w:rsidRDefault="002D7201" w:rsidP="009C5D93">
            <w:pPr>
              <w:pStyle w:val="Table2"/>
              <w:keepNext/>
              <w:keepLines/>
              <w:framePr w:hSpace="0" w:wrap="auto" w:vAnchor="margin" w:xAlign="left" w:yAlign="inline"/>
              <w:suppressOverlap w:val="0"/>
              <w:rPr>
                <w:b/>
              </w:rPr>
            </w:pPr>
            <w:r w:rsidRPr="0096597E">
              <w:rPr>
                <w:b/>
              </w:rPr>
              <w:t>PPGS Contact Title:</w:t>
            </w:r>
          </w:p>
        </w:tc>
        <w:tc>
          <w:tcPr>
            <w:tcW w:w="1984" w:type="dxa"/>
            <w:tcMar>
              <w:left w:w="0" w:type="dxa"/>
              <w:right w:w="0" w:type="dxa"/>
            </w:tcMar>
          </w:tcPr>
          <w:p w:rsidR="002D7201" w:rsidRPr="00B428EC" w:rsidRDefault="00652FDD" w:rsidP="009C5D93">
            <w:pPr>
              <w:pStyle w:val="Table2"/>
              <w:keepNext/>
              <w:keepLines/>
              <w:framePr w:hSpace="0" w:wrap="auto" w:vAnchor="margin" w:xAlign="left" w:yAlign="inline"/>
              <w:suppressOverlap w:val="0"/>
              <w:rPr>
                <w:sz w:val="20"/>
                <w:szCs w:val="20"/>
              </w:rPr>
            </w:pPr>
            <w:r>
              <w:rPr>
                <w:sz w:val="20"/>
                <w:szCs w:val="20"/>
              </w:rPr>
              <w:t>Chief Financial   Officer</w:t>
            </w:r>
          </w:p>
        </w:tc>
        <w:tc>
          <w:tcPr>
            <w:tcW w:w="1134" w:type="dxa"/>
            <w:tcMar>
              <w:left w:w="0" w:type="dxa"/>
              <w:right w:w="0" w:type="dxa"/>
            </w:tcMar>
          </w:tcPr>
          <w:p w:rsidR="002D7201" w:rsidRPr="00B428EC" w:rsidRDefault="002D7201" w:rsidP="009C5D93">
            <w:pPr>
              <w:pStyle w:val="Table2"/>
              <w:keepNext/>
              <w:keepLines/>
              <w:framePr w:hSpace="0" w:wrap="auto" w:vAnchor="margin" w:xAlign="left" w:yAlign="inline"/>
              <w:suppressOverlap w:val="0"/>
              <w:rPr>
                <w:b/>
                <w:sz w:val="20"/>
                <w:szCs w:val="20"/>
              </w:rPr>
            </w:pPr>
            <w:r w:rsidRPr="00B428EC">
              <w:rPr>
                <w:b/>
                <w:sz w:val="20"/>
                <w:szCs w:val="20"/>
              </w:rPr>
              <w:t>Date Approved:</w:t>
            </w:r>
          </w:p>
        </w:tc>
        <w:tc>
          <w:tcPr>
            <w:tcW w:w="1957" w:type="dxa"/>
            <w:tcMar>
              <w:left w:w="0" w:type="dxa"/>
              <w:right w:w="0" w:type="dxa"/>
            </w:tcMar>
          </w:tcPr>
          <w:p w:rsidR="002D7201" w:rsidRPr="00B428EC" w:rsidRDefault="00904074" w:rsidP="009C5D93">
            <w:pPr>
              <w:pStyle w:val="Approveddatelookupfield"/>
              <w:keepNext/>
              <w:keepLines/>
              <w:framePr w:hSpace="0" w:wrap="auto" w:yAlign="inline"/>
              <w:suppressOverlap w:val="0"/>
              <w:rPr>
                <w:sz w:val="20"/>
                <w:szCs w:val="20"/>
              </w:rPr>
            </w:pPr>
            <w:r>
              <w:rPr>
                <w:sz w:val="20"/>
                <w:szCs w:val="20"/>
              </w:rPr>
              <w:t>29/05/2020</w:t>
            </w:r>
          </w:p>
        </w:tc>
        <w:tc>
          <w:tcPr>
            <w:tcW w:w="1701" w:type="dxa"/>
            <w:tcMar>
              <w:left w:w="0" w:type="dxa"/>
              <w:right w:w="0" w:type="dxa"/>
            </w:tcMar>
          </w:tcPr>
          <w:p w:rsidR="002D7201" w:rsidRPr="00B428EC" w:rsidRDefault="002D7201" w:rsidP="009C5D93">
            <w:pPr>
              <w:pStyle w:val="Table2"/>
              <w:keepNext/>
              <w:keepLines/>
              <w:framePr w:hSpace="0" w:wrap="auto" w:vAnchor="margin" w:xAlign="left" w:yAlign="inline"/>
              <w:suppressOverlap w:val="0"/>
              <w:rPr>
                <w:b/>
                <w:sz w:val="20"/>
                <w:szCs w:val="20"/>
              </w:rPr>
            </w:pPr>
            <w:r w:rsidRPr="00B428EC">
              <w:rPr>
                <w:b/>
                <w:sz w:val="20"/>
                <w:szCs w:val="20"/>
              </w:rPr>
              <w:t>Status:</w:t>
            </w:r>
          </w:p>
        </w:tc>
        <w:tc>
          <w:tcPr>
            <w:tcW w:w="2126" w:type="dxa"/>
            <w:tcMar>
              <w:left w:w="0" w:type="dxa"/>
              <w:right w:w="0" w:type="dxa"/>
            </w:tcMar>
          </w:tcPr>
          <w:p w:rsidR="002D7201" w:rsidRPr="00B428EC" w:rsidRDefault="00B428EC" w:rsidP="009C5D93">
            <w:pPr>
              <w:pStyle w:val="Table2"/>
              <w:keepNext/>
              <w:keepLines/>
              <w:framePr w:hSpace="0" w:wrap="auto" w:vAnchor="margin" w:xAlign="left" w:yAlign="inline"/>
              <w:suppressOverlap w:val="0"/>
              <w:rPr>
                <w:sz w:val="20"/>
                <w:szCs w:val="20"/>
              </w:rPr>
            </w:pPr>
            <w:r>
              <w:rPr>
                <w:sz w:val="20"/>
                <w:szCs w:val="20"/>
              </w:rPr>
              <w:t>Final</w:t>
            </w:r>
          </w:p>
        </w:tc>
      </w:tr>
      <w:tr w:rsidR="002D7201" w:rsidRPr="00343454" w:rsidTr="0050744A">
        <w:trPr>
          <w:cantSplit/>
          <w:trHeight w:hRule="exact" w:val="655"/>
        </w:trPr>
        <w:tc>
          <w:tcPr>
            <w:tcW w:w="1446" w:type="dxa"/>
            <w:tcMar>
              <w:left w:w="0" w:type="dxa"/>
              <w:right w:w="0" w:type="dxa"/>
            </w:tcMar>
          </w:tcPr>
          <w:p w:rsidR="002D7201" w:rsidRPr="0096597E" w:rsidRDefault="002D7201" w:rsidP="009C5D93">
            <w:pPr>
              <w:pStyle w:val="Table2"/>
              <w:keepNext/>
              <w:keepLines/>
              <w:framePr w:hSpace="0" w:wrap="auto" w:vAnchor="margin" w:xAlign="left" w:yAlign="inline"/>
              <w:suppressOverlap w:val="0"/>
              <w:rPr>
                <w:b/>
              </w:rPr>
            </w:pPr>
            <w:r w:rsidRPr="0096597E">
              <w:rPr>
                <w:b/>
              </w:rPr>
              <w:t>PPGS Contact Number:</w:t>
            </w:r>
          </w:p>
        </w:tc>
        <w:tc>
          <w:tcPr>
            <w:tcW w:w="1984" w:type="dxa"/>
            <w:tcMar>
              <w:left w:w="0" w:type="dxa"/>
              <w:right w:w="0" w:type="dxa"/>
            </w:tcMar>
          </w:tcPr>
          <w:p w:rsidR="002D7201" w:rsidRPr="00B428EC" w:rsidRDefault="00B428EC" w:rsidP="009C5D93">
            <w:pPr>
              <w:pStyle w:val="Table2"/>
              <w:keepNext/>
              <w:keepLines/>
              <w:framePr w:hSpace="0" w:wrap="auto" w:vAnchor="margin" w:xAlign="left" w:yAlign="inline"/>
              <w:suppressOverlap w:val="0"/>
              <w:rPr>
                <w:sz w:val="20"/>
                <w:szCs w:val="20"/>
              </w:rPr>
            </w:pPr>
            <w:r>
              <w:rPr>
                <w:sz w:val="20"/>
                <w:szCs w:val="20"/>
              </w:rPr>
              <w:t xml:space="preserve">(08) </w:t>
            </w:r>
            <w:r w:rsidR="00883F6D">
              <w:rPr>
                <w:sz w:val="20"/>
                <w:szCs w:val="20"/>
              </w:rPr>
              <w:t>8429 0749</w:t>
            </w:r>
          </w:p>
        </w:tc>
        <w:tc>
          <w:tcPr>
            <w:tcW w:w="1134" w:type="dxa"/>
            <w:tcMar>
              <w:left w:w="0" w:type="dxa"/>
              <w:right w:w="0" w:type="dxa"/>
            </w:tcMar>
          </w:tcPr>
          <w:p w:rsidR="002D7201" w:rsidRPr="00B428EC" w:rsidRDefault="002D7201" w:rsidP="009C5D93">
            <w:pPr>
              <w:pStyle w:val="Table2"/>
              <w:keepNext/>
              <w:keepLines/>
              <w:framePr w:hSpace="0" w:wrap="auto" w:vAnchor="margin" w:xAlign="left" w:yAlign="inline"/>
              <w:suppressOverlap w:val="0"/>
              <w:rPr>
                <w:b/>
                <w:sz w:val="20"/>
                <w:szCs w:val="20"/>
              </w:rPr>
            </w:pPr>
            <w:r w:rsidRPr="00B428EC">
              <w:rPr>
                <w:b/>
                <w:sz w:val="20"/>
                <w:szCs w:val="20"/>
              </w:rPr>
              <w:t>Next Review Date:</w:t>
            </w:r>
          </w:p>
        </w:tc>
        <w:tc>
          <w:tcPr>
            <w:tcW w:w="1957" w:type="dxa"/>
            <w:tcMar>
              <w:left w:w="0" w:type="dxa"/>
              <w:right w:w="0" w:type="dxa"/>
            </w:tcMar>
          </w:tcPr>
          <w:p w:rsidR="002D7201" w:rsidRPr="00B428EC" w:rsidRDefault="00B428EC" w:rsidP="00993E8E">
            <w:pPr>
              <w:pStyle w:val="Table2"/>
              <w:keepNext/>
              <w:keepLines/>
              <w:framePr w:hSpace="0" w:wrap="auto" w:vAnchor="margin" w:xAlign="left" w:yAlign="inline"/>
              <w:suppressOverlap w:val="0"/>
              <w:rPr>
                <w:sz w:val="20"/>
                <w:szCs w:val="20"/>
              </w:rPr>
            </w:pPr>
            <w:r>
              <w:rPr>
                <w:sz w:val="20"/>
                <w:szCs w:val="20"/>
              </w:rPr>
              <w:t>30/06/202</w:t>
            </w:r>
            <w:r w:rsidR="00993E8E">
              <w:rPr>
                <w:sz w:val="20"/>
                <w:szCs w:val="20"/>
              </w:rPr>
              <w:t>4</w:t>
            </w:r>
          </w:p>
        </w:tc>
        <w:tc>
          <w:tcPr>
            <w:tcW w:w="1701" w:type="dxa"/>
            <w:tcMar>
              <w:left w:w="0" w:type="dxa"/>
              <w:right w:w="0" w:type="dxa"/>
            </w:tcMar>
          </w:tcPr>
          <w:p w:rsidR="002D7201" w:rsidRPr="00B428EC" w:rsidRDefault="002D7201" w:rsidP="009C5D93">
            <w:pPr>
              <w:pStyle w:val="Table2"/>
              <w:keepNext/>
              <w:keepLines/>
              <w:framePr w:hSpace="0" w:wrap="auto" w:vAnchor="margin" w:xAlign="left" w:yAlign="inline"/>
              <w:suppressOverlap w:val="0"/>
              <w:rPr>
                <w:b/>
                <w:sz w:val="20"/>
                <w:szCs w:val="20"/>
              </w:rPr>
            </w:pPr>
            <w:r w:rsidRPr="00B428EC">
              <w:rPr>
                <w:b/>
                <w:sz w:val="20"/>
                <w:szCs w:val="20"/>
              </w:rPr>
              <w:t>Security Classification:</w:t>
            </w:r>
          </w:p>
        </w:tc>
        <w:tc>
          <w:tcPr>
            <w:tcW w:w="2126" w:type="dxa"/>
            <w:tcMar>
              <w:left w:w="0" w:type="dxa"/>
              <w:right w:w="0" w:type="dxa"/>
            </w:tcMar>
          </w:tcPr>
          <w:p w:rsidR="002D7201" w:rsidRPr="00B428EC" w:rsidRDefault="00B428EC" w:rsidP="009C5D93">
            <w:pPr>
              <w:pStyle w:val="Table2"/>
              <w:keepNext/>
              <w:keepLines/>
              <w:framePr w:hSpace="0" w:wrap="auto" w:vAnchor="margin" w:xAlign="left" w:yAlign="inline"/>
              <w:suppressOverlap w:val="0"/>
              <w:rPr>
                <w:sz w:val="20"/>
                <w:szCs w:val="20"/>
              </w:rPr>
            </w:pPr>
            <w:r>
              <w:rPr>
                <w:sz w:val="20"/>
                <w:szCs w:val="20"/>
              </w:rPr>
              <w:t>Public</w:t>
            </w:r>
            <w:r w:rsidR="002D7201" w:rsidRPr="00B428EC">
              <w:rPr>
                <w:sz w:val="20"/>
                <w:szCs w:val="20"/>
              </w:rPr>
              <w:fldChar w:fldCharType="begin"/>
            </w:r>
            <w:r w:rsidR="002D7201" w:rsidRPr="00B428EC">
              <w:rPr>
                <w:sz w:val="20"/>
                <w:szCs w:val="20"/>
              </w:rPr>
              <w:instrText xml:space="preserve"> docproperty "objective-Access Use Conditions [system]"</w:instrText>
            </w:r>
            <w:r w:rsidR="002D7201" w:rsidRPr="00B428EC">
              <w:rPr>
                <w:sz w:val="20"/>
                <w:szCs w:val="20"/>
              </w:rPr>
              <w:fldChar w:fldCharType="begin"/>
            </w:r>
            <w:r w:rsidR="002D7201" w:rsidRPr="00B428EC">
              <w:rPr>
                <w:sz w:val="20"/>
                <w:szCs w:val="20"/>
              </w:rPr>
              <w:instrText xml:space="preserve"> STYLEREF  "Policy Security Classification"  \* MERGEFORMAT </w:instrText>
            </w:r>
            <w:r w:rsidR="002D7201" w:rsidRPr="00B428EC">
              <w:rPr>
                <w:sz w:val="20"/>
                <w:szCs w:val="20"/>
              </w:rPr>
              <w:fldChar w:fldCharType="separate"/>
            </w:r>
            <w:r w:rsidR="00744630">
              <w:rPr>
                <w:b/>
                <w:bCs/>
                <w:noProof/>
                <w:sz w:val="20"/>
                <w:szCs w:val="20"/>
                <w:lang w:val="en-US"/>
              </w:rPr>
              <w:instrText>Error! No text of specified style in document.</w:instrText>
            </w:r>
            <w:r w:rsidR="002D7201" w:rsidRPr="00B428EC">
              <w:rPr>
                <w:sz w:val="20"/>
                <w:szCs w:val="20"/>
              </w:rPr>
              <w:fldChar w:fldCharType="end"/>
            </w:r>
            <w:r w:rsidR="002D7201" w:rsidRPr="00B428EC">
              <w:rPr>
                <w:sz w:val="20"/>
                <w:szCs w:val="20"/>
              </w:rPr>
              <w:instrText xml:space="preserve"> </w:instrText>
            </w:r>
            <w:r w:rsidR="002D7201" w:rsidRPr="00B428EC">
              <w:rPr>
                <w:sz w:val="20"/>
                <w:szCs w:val="20"/>
              </w:rPr>
              <w:fldChar w:fldCharType="end"/>
            </w:r>
          </w:p>
        </w:tc>
      </w:tr>
    </w:tbl>
    <w:p w:rsidR="00127BF5" w:rsidRPr="00127BF5" w:rsidRDefault="00127BF5" w:rsidP="00127BF5">
      <w:pPr>
        <w:spacing w:before="360" w:after="3480"/>
        <w:jc w:val="center"/>
        <w:rPr>
          <w:lang w:val="en-US"/>
        </w:rPr>
      </w:pPr>
      <w:r w:rsidRPr="00127BF5">
        <w:rPr>
          <w:lang w:val="en-US"/>
        </w:rPr>
        <w:t>This policy establishes principles that enable PIRSA to m</w:t>
      </w:r>
      <w:r w:rsidR="00F10C98">
        <w:rPr>
          <w:lang w:val="en-US"/>
        </w:rPr>
        <w:t xml:space="preserve">ake consistent decisions on the </w:t>
      </w:r>
      <w:r w:rsidRPr="00127BF5">
        <w:rPr>
          <w:lang w:val="en-US"/>
        </w:rPr>
        <w:t>appropriate recovery of the costs of PIRSA’s goods and services.</w:t>
      </w:r>
    </w:p>
    <w:p w:rsidR="002D7201" w:rsidRPr="0028223D" w:rsidRDefault="002D7201" w:rsidP="0028223D">
      <w:pPr>
        <w:sectPr w:rsidR="002D7201" w:rsidRPr="0028223D" w:rsidSect="00905643">
          <w:headerReference w:type="even" r:id="rId9"/>
          <w:footerReference w:type="default" r:id="rId10"/>
          <w:headerReference w:type="first" r:id="rId11"/>
          <w:footerReference w:type="first" r:id="rId12"/>
          <w:pgSz w:w="11906" w:h="16838" w:code="9"/>
          <w:pgMar w:top="709" w:right="1418" w:bottom="1418" w:left="1418" w:header="426" w:footer="567" w:gutter="0"/>
          <w:pgNumType w:start="2"/>
          <w:cols w:space="708"/>
          <w:docGrid w:linePitch="360"/>
        </w:sectPr>
      </w:pPr>
    </w:p>
    <w:p w:rsidR="006D343D" w:rsidRPr="00343454" w:rsidRDefault="006D343D" w:rsidP="00301871">
      <w:pPr>
        <w:pStyle w:val="Contentsheader"/>
      </w:pPr>
      <w:r w:rsidRPr="00895535">
        <w:rPr>
          <w:color w:val="00427A"/>
        </w:rPr>
        <w:lastRenderedPageBreak/>
        <w:t>CONTENTS</w:t>
      </w:r>
    </w:p>
    <w:p w:rsidR="00522E2D" w:rsidRDefault="005B7C7E">
      <w:pPr>
        <w:pStyle w:val="TOC1"/>
        <w:rPr>
          <w:rFonts w:asciiTheme="minorHAnsi" w:eastAsiaTheme="minorEastAsia" w:hAnsiTheme="minorHAnsi" w:cstheme="minorBidi"/>
          <w:b w:val="0"/>
          <w:bCs w:val="0"/>
          <w:caps w:val="0"/>
          <w:noProof/>
          <w:sz w:val="22"/>
          <w:szCs w:val="22"/>
          <w:lang w:eastAsia="en-AU"/>
        </w:rPr>
      </w:pPr>
      <w:r>
        <w:rPr>
          <w:b w:val="0"/>
          <w:bCs w:val="0"/>
          <w:caps w:val="0"/>
        </w:rPr>
        <w:fldChar w:fldCharType="begin"/>
      </w:r>
      <w:r>
        <w:rPr>
          <w:b w:val="0"/>
          <w:bCs w:val="0"/>
          <w:caps w:val="0"/>
        </w:rPr>
        <w:instrText xml:space="preserve"> TOC \o "3-3" \h \z \t "Heading 1,1,Heading 2,2" </w:instrText>
      </w:r>
      <w:r>
        <w:rPr>
          <w:b w:val="0"/>
          <w:bCs w:val="0"/>
          <w:caps w:val="0"/>
        </w:rPr>
        <w:fldChar w:fldCharType="separate"/>
      </w:r>
      <w:hyperlink w:anchor="_Toc40709372" w:history="1">
        <w:r w:rsidR="00522E2D" w:rsidRPr="008A5AFE">
          <w:rPr>
            <w:rStyle w:val="Hyperlink"/>
            <w:noProof/>
          </w:rPr>
          <w:t>1.</w:t>
        </w:r>
        <w:r w:rsidR="00522E2D">
          <w:rPr>
            <w:rFonts w:asciiTheme="minorHAnsi" w:eastAsiaTheme="minorEastAsia" w:hAnsiTheme="minorHAnsi" w:cstheme="minorBidi"/>
            <w:b w:val="0"/>
            <w:bCs w:val="0"/>
            <w:caps w:val="0"/>
            <w:noProof/>
            <w:sz w:val="22"/>
            <w:szCs w:val="22"/>
            <w:lang w:eastAsia="en-AU"/>
          </w:rPr>
          <w:tab/>
        </w:r>
        <w:r w:rsidR="00522E2D" w:rsidRPr="008A5AFE">
          <w:rPr>
            <w:rStyle w:val="Hyperlink"/>
            <w:noProof/>
          </w:rPr>
          <w:t>Purpose</w:t>
        </w:r>
        <w:r w:rsidR="00522E2D">
          <w:rPr>
            <w:noProof/>
            <w:webHidden/>
          </w:rPr>
          <w:tab/>
        </w:r>
        <w:r w:rsidR="00522E2D">
          <w:rPr>
            <w:noProof/>
            <w:webHidden/>
          </w:rPr>
          <w:fldChar w:fldCharType="begin"/>
        </w:r>
        <w:r w:rsidR="00522E2D">
          <w:rPr>
            <w:noProof/>
            <w:webHidden/>
          </w:rPr>
          <w:instrText xml:space="preserve"> PAGEREF _Toc40709372 \h </w:instrText>
        </w:r>
        <w:r w:rsidR="00522E2D">
          <w:rPr>
            <w:noProof/>
            <w:webHidden/>
          </w:rPr>
        </w:r>
        <w:r w:rsidR="00522E2D">
          <w:rPr>
            <w:noProof/>
            <w:webHidden/>
          </w:rPr>
          <w:fldChar w:fldCharType="separate"/>
        </w:r>
        <w:r w:rsidR="00744630">
          <w:rPr>
            <w:noProof/>
            <w:webHidden/>
          </w:rPr>
          <w:t>3</w:t>
        </w:r>
        <w:r w:rsidR="00522E2D">
          <w:rPr>
            <w:noProof/>
            <w:webHidden/>
          </w:rPr>
          <w:fldChar w:fldCharType="end"/>
        </w:r>
      </w:hyperlink>
    </w:p>
    <w:p w:rsidR="00522E2D" w:rsidRDefault="004E66A7">
      <w:pPr>
        <w:pStyle w:val="TOC1"/>
        <w:rPr>
          <w:rFonts w:asciiTheme="minorHAnsi" w:eastAsiaTheme="minorEastAsia" w:hAnsiTheme="minorHAnsi" w:cstheme="minorBidi"/>
          <w:b w:val="0"/>
          <w:bCs w:val="0"/>
          <w:caps w:val="0"/>
          <w:noProof/>
          <w:sz w:val="22"/>
          <w:szCs w:val="22"/>
          <w:lang w:eastAsia="en-AU"/>
        </w:rPr>
      </w:pPr>
      <w:hyperlink w:anchor="_Toc40709373" w:history="1">
        <w:r w:rsidR="00522E2D" w:rsidRPr="008A5AFE">
          <w:rPr>
            <w:rStyle w:val="Hyperlink"/>
            <w:noProof/>
          </w:rPr>
          <w:t>2.</w:t>
        </w:r>
        <w:r w:rsidR="00522E2D">
          <w:rPr>
            <w:rFonts w:asciiTheme="minorHAnsi" w:eastAsiaTheme="minorEastAsia" w:hAnsiTheme="minorHAnsi" w:cstheme="minorBidi"/>
            <w:b w:val="0"/>
            <w:bCs w:val="0"/>
            <w:caps w:val="0"/>
            <w:noProof/>
            <w:sz w:val="22"/>
            <w:szCs w:val="22"/>
            <w:lang w:eastAsia="en-AU"/>
          </w:rPr>
          <w:tab/>
        </w:r>
        <w:r w:rsidR="00522E2D" w:rsidRPr="008A5AFE">
          <w:rPr>
            <w:rStyle w:val="Hyperlink"/>
            <w:noProof/>
          </w:rPr>
          <w:t>Scope</w:t>
        </w:r>
        <w:r w:rsidR="00522E2D">
          <w:rPr>
            <w:noProof/>
            <w:webHidden/>
          </w:rPr>
          <w:tab/>
        </w:r>
        <w:r w:rsidR="00522E2D">
          <w:rPr>
            <w:noProof/>
            <w:webHidden/>
          </w:rPr>
          <w:fldChar w:fldCharType="begin"/>
        </w:r>
        <w:r w:rsidR="00522E2D">
          <w:rPr>
            <w:noProof/>
            <w:webHidden/>
          </w:rPr>
          <w:instrText xml:space="preserve"> PAGEREF _Toc40709373 \h </w:instrText>
        </w:r>
        <w:r w:rsidR="00522E2D">
          <w:rPr>
            <w:noProof/>
            <w:webHidden/>
          </w:rPr>
        </w:r>
        <w:r w:rsidR="00522E2D">
          <w:rPr>
            <w:noProof/>
            <w:webHidden/>
          </w:rPr>
          <w:fldChar w:fldCharType="separate"/>
        </w:r>
        <w:r w:rsidR="00744630">
          <w:rPr>
            <w:noProof/>
            <w:webHidden/>
          </w:rPr>
          <w:t>3</w:t>
        </w:r>
        <w:r w:rsidR="00522E2D">
          <w:rPr>
            <w:noProof/>
            <w:webHidden/>
          </w:rPr>
          <w:fldChar w:fldCharType="end"/>
        </w:r>
      </w:hyperlink>
    </w:p>
    <w:p w:rsidR="00522E2D" w:rsidRDefault="004E66A7">
      <w:pPr>
        <w:pStyle w:val="TOC1"/>
        <w:rPr>
          <w:rFonts w:asciiTheme="minorHAnsi" w:eastAsiaTheme="minorEastAsia" w:hAnsiTheme="minorHAnsi" w:cstheme="minorBidi"/>
          <w:b w:val="0"/>
          <w:bCs w:val="0"/>
          <w:caps w:val="0"/>
          <w:noProof/>
          <w:sz w:val="22"/>
          <w:szCs w:val="22"/>
          <w:lang w:eastAsia="en-AU"/>
        </w:rPr>
      </w:pPr>
      <w:hyperlink w:anchor="_Toc40709374" w:history="1">
        <w:r w:rsidR="00522E2D" w:rsidRPr="008A5AFE">
          <w:rPr>
            <w:rStyle w:val="Hyperlink"/>
            <w:noProof/>
          </w:rPr>
          <w:t>3.</w:t>
        </w:r>
        <w:r w:rsidR="00522E2D">
          <w:rPr>
            <w:rFonts w:asciiTheme="minorHAnsi" w:eastAsiaTheme="minorEastAsia" w:hAnsiTheme="minorHAnsi" w:cstheme="minorBidi"/>
            <w:b w:val="0"/>
            <w:bCs w:val="0"/>
            <w:caps w:val="0"/>
            <w:noProof/>
            <w:sz w:val="22"/>
            <w:szCs w:val="22"/>
            <w:lang w:eastAsia="en-AU"/>
          </w:rPr>
          <w:tab/>
        </w:r>
        <w:r w:rsidR="00522E2D" w:rsidRPr="008A5AFE">
          <w:rPr>
            <w:rStyle w:val="Hyperlink"/>
            <w:noProof/>
          </w:rPr>
          <w:t>Policy Details</w:t>
        </w:r>
        <w:r w:rsidR="00522E2D">
          <w:rPr>
            <w:noProof/>
            <w:webHidden/>
          </w:rPr>
          <w:tab/>
        </w:r>
        <w:r w:rsidR="00522E2D">
          <w:rPr>
            <w:noProof/>
            <w:webHidden/>
          </w:rPr>
          <w:fldChar w:fldCharType="begin"/>
        </w:r>
        <w:r w:rsidR="00522E2D">
          <w:rPr>
            <w:noProof/>
            <w:webHidden/>
          </w:rPr>
          <w:instrText xml:space="preserve"> PAGEREF _Toc40709374 \h </w:instrText>
        </w:r>
        <w:r w:rsidR="00522E2D">
          <w:rPr>
            <w:noProof/>
            <w:webHidden/>
          </w:rPr>
        </w:r>
        <w:r w:rsidR="00522E2D">
          <w:rPr>
            <w:noProof/>
            <w:webHidden/>
          </w:rPr>
          <w:fldChar w:fldCharType="separate"/>
        </w:r>
        <w:r w:rsidR="00744630">
          <w:rPr>
            <w:noProof/>
            <w:webHidden/>
          </w:rPr>
          <w:t>4</w:t>
        </w:r>
        <w:r w:rsidR="00522E2D">
          <w:rPr>
            <w:noProof/>
            <w:webHidden/>
          </w:rPr>
          <w:fldChar w:fldCharType="end"/>
        </w:r>
      </w:hyperlink>
    </w:p>
    <w:p w:rsidR="00522E2D" w:rsidRDefault="004E66A7">
      <w:pPr>
        <w:pStyle w:val="TOC1"/>
        <w:rPr>
          <w:rFonts w:asciiTheme="minorHAnsi" w:eastAsiaTheme="minorEastAsia" w:hAnsiTheme="minorHAnsi" w:cstheme="minorBidi"/>
          <w:b w:val="0"/>
          <w:bCs w:val="0"/>
          <w:caps w:val="0"/>
          <w:noProof/>
          <w:sz w:val="22"/>
          <w:szCs w:val="22"/>
          <w:lang w:eastAsia="en-AU"/>
        </w:rPr>
      </w:pPr>
      <w:hyperlink w:anchor="_Toc40709375" w:history="1">
        <w:r w:rsidR="00522E2D" w:rsidRPr="008A5AFE">
          <w:rPr>
            <w:rStyle w:val="Hyperlink"/>
            <w:noProof/>
          </w:rPr>
          <w:t>4.</w:t>
        </w:r>
        <w:r w:rsidR="00522E2D">
          <w:rPr>
            <w:rFonts w:asciiTheme="minorHAnsi" w:eastAsiaTheme="minorEastAsia" w:hAnsiTheme="minorHAnsi" w:cstheme="minorBidi"/>
            <w:b w:val="0"/>
            <w:bCs w:val="0"/>
            <w:caps w:val="0"/>
            <w:noProof/>
            <w:sz w:val="22"/>
            <w:szCs w:val="22"/>
            <w:lang w:eastAsia="en-AU"/>
          </w:rPr>
          <w:tab/>
        </w:r>
        <w:r w:rsidR="00522E2D" w:rsidRPr="008A5AFE">
          <w:rPr>
            <w:rStyle w:val="Hyperlink"/>
            <w:noProof/>
          </w:rPr>
          <w:t>Roles and Responsibilities</w:t>
        </w:r>
        <w:r w:rsidR="00522E2D">
          <w:rPr>
            <w:noProof/>
            <w:webHidden/>
          </w:rPr>
          <w:tab/>
        </w:r>
        <w:r w:rsidR="00522E2D">
          <w:rPr>
            <w:noProof/>
            <w:webHidden/>
          </w:rPr>
          <w:fldChar w:fldCharType="begin"/>
        </w:r>
        <w:r w:rsidR="00522E2D">
          <w:rPr>
            <w:noProof/>
            <w:webHidden/>
          </w:rPr>
          <w:instrText xml:space="preserve"> PAGEREF _Toc40709375 \h </w:instrText>
        </w:r>
        <w:r w:rsidR="00522E2D">
          <w:rPr>
            <w:noProof/>
            <w:webHidden/>
          </w:rPr>
        </w:r>
        <w:r w:rsidR="00522E2D">
          <w:rPr>
            <w:noProof/>
            <w:webHidden/>
          </w:rPr>
          <w:fldChar w:fldCharType="separate"/>
        </w:r>
        <w:r w:rsidR="00744630">
          <w:rPr>
            <w:noProof/>
            <w:webHidden/>
          </w:rPr>
          <w:t>15</w:t>
        </w:r>
        <w:r w:rsidR="00522E2D">
          <w:rPr>
            <w:noProof/>
            <w:webHidden/>
          </w:rPr>
          <w:fldChar w:fldCharType="end"/>
        </w:r>
      </w:hyperlink>
    </w:p>
    <w:p w:rsidR="00522E2D" w:rsidRDefault="004E66A7">
      <w:pPr>
        <w:pStyle w:val="TOC1"/>
        <w:rPr>
          <w:rFonts w:asciiTheme="minorHAnsi" w:eastAsiaTheme="minorEastAsia" w:hAnsiTheme="minorHAnsi" w:cstheme="minorBidi"/>
          <w:b w:val="0"/>
          <w:bCs w:val="0"/>
          <w:caps w:val="0"/>
          <w:noProof/>
          <w:sz w:val="22"/>
          <w:szCs w:val="22"/>
          <w:lang w:eastAsia="en-AU"/>
        </w:rPr>
      </w:pPr>
      <w:hyperlink w:anchor="_Toc40709376" w:history="1">
        <w:r w:rsidR="00522E2D" w:rsidRPr="008A5AFE">
          <w:rPr>
            <w:rStyle w:val="Hyperlink"/>
            <w:noProof/>
          </w:rPr>
          <w:t>5.</w:t>
        </w:r>
        <w:r w:rsidR="00522E2D">
          <w:rPr>
            <w:rFonts w:asciiTheme="minorHAnsi" w:eastAsiaTheme="minorEastAsia" w:hAnsiTheme="minorHAnsi" w:cstheme="minorBidi"/>
            <w:b w:val="0"/>
            <w:bCs w:val="0"/>
            <w:caps w:val="0"/>
            <w:noProof/>
            <w:sz w:val="22"/>
            <w:szCs w:val="22"/>
            <w:lang w:eastAsia="en-AU"/>
          </w:rPr>
          <w:tab/>
        </w:r>
        <w:r w:rsidR="00522E2D" w:rsidRPr="008A5AFE">
          <w:rPr>
            <w:rStyle w:val="Hyperlink"/>
            <w:noProof/>
          </w:rPr>
          <w:t>Definitions</w:t>
        </w:r>
        <w:r w:rsidR="00522E2D">
          <w:rPr>
            <w:noProof/>
            <w:webHidden/>
          </w:rPr>
          <w:tab/>
        </w:r>
        <w:r w:rsidR="00522E2D">
          <w:rPr>
            <w:noProof/>
            <w:webHidden/>
          </w:rPr>
          <w:fldChar w:fldCharType="begin"/>
        </w:r>
        <w:r w:rsidR="00522E2D">
          <w:rPr>
            <w:noProof/>
            <w:webHidden/>
          </w:rPr>
          <w:instrText xml:space="preserve"> PAGEREF _Toc40709376 \h </w:instrText>
        </w:r>
        <w:r w:rsidR="00522E2D">
          <w:rPr>
            <w:noProof/>
            <w:webHidden/>
          </w:rPr>
        </w:r>
        <w:r w:rsidR="00522E2D">
          <w:rPr>
            <w:noProof/>
            <w:webHidden/>
          </w:rPr>
          <w:fldChar w:fldCharType="separate"/>
        </w:r>
        <w:r w:rsidR="00744630">
          <w:rPr>
            <w:noProof/>
            <w:webHidden/>
          </w:rPr>
          <w:t>16</w:t>
        </w:r>
        <w:r w:rsidR="00522E2D">
          <w:rPr>
            <w:noProof/>
            <w:webHidden/>
          </w:rPr>
          <w:fldChar w:fldCharType="end"/>
        </w:r>
      </w:hyperlink>
    </w:p>
    <w:p w:rsidR="00522E2D" w:rsidRDefault="004E66A7">
      <w:pPr>
        <w:pStyle w:val="TOC1"/>
        <w:rPr>
          <w:rFonts w:asciiTheme="minorHAnsi" w:eastAsiaTheme="minorEastAsia" w:hAnsiTheme="minorHAnsi" w:cstheme="minorBidi"/>
          <w:b w:val="0"/>
          <w:bCs w:val="0"/>
          <w:caps w:val="0"/>
          <w:noProof/>
          <w:sz w:val="22"/>
          <w:szCs w:val="22"/>
          <w:lang w:eastAsia="en-AU"/>
        </w:rPr>
      </w:pPr>
      <w:hyperlink w:anchor="_Toc40709377" w:history="1">
        <w:r w:rsidR="00522E2D" w:rsidRPr="008A5AFE">
          <w:rPr>
            <w:rStyle w:val="Hyperlink"/>
            <w:noProof/>
          </w:rPr>
          <w:t>6.</w:t>
        </w:r>
        <w:r w:rsidR="00522E2D">
          <w:rPr>
            <w:rFonts w:asciiTheme="minorHAnsi" w:eastAsiaTheme="minorEastAsia" w:hAnsiTheme="minorHAnsi" w:cstheme="minorBidi"/>
            <w:b w:val="0"/>
            <w:bCs w:val="0"/>
            <w:caps w:val="0"/>
            <w:noProof/>
            <w:sz w:val="22"/>
            <w:szCs w:val="22"/>
            <w:lang w:eastAsia="en-AU"/>
          </w:rPr>
          <w:tab/>
        </w:r>
        <w:r w:rsidR="00522E2D" w:rsidRPr="008A5AFE">
          <w:rPr>
            <w:rStyle w:val="Hyperlink"/>
            <w:noProof/>
          </w:rPr>
          <w:t>Related Documents</w:t>
        </w:r>
        <w:r w:rsidR="00522E2D">
          <w:rPr>
            <w:noProof/>
            <w:webHidden/>
          </w:rPr>
          <w:tab/>
        </w:r>
        <w:r w:rsidR="00522E2D">
          <w:rPr>
            <w:noProof/>
            <w:webHidden/>
          </w:rPr>
          <w:fldChar w:fldCharType="begin"/>
        </w:r>
        <w:r w:rsidR="00522E2D">
          <w:rPr>
            <w:noProof/>
            <w:webHidden/>
          </w:rPr>
          <w:instrText xml:space="preserve"> PAGEREF _Toc40709377 \h </w:instrText>
        </w:r>
        <w:r w:rsidR="00522E2D">
          <w:rPr>
            <w:noProof/>
            <w:webHidden/>
          </w:rPr>
        </w:r>
        <w:r w:rsidR="00522E2D">
          <w:rPr>
            <w:noProof/>
            <w:webHidden/>
          </w:rPr>
          <w:fldChar w:fldCharType="separate"/>
        </w:r>
        <w:r w:rsidR="00744630">
          <w:rPr>
            <w:noProof/>
            <w:webHidden/>
          </w:rPr>
          <w:t>18</w:t>
        </w:r>
        <w:r w:rsidR="00522E2D">
          <w:rPr>
            <w:noProof/>
            <w:webHidden/>
          </w:rPr>
          <w:fldChar w:fldCharType="end"/>
        </w:r>
      </w:hyperlink>
    </w:p>
    <w:p w:rsidR="00353023" w:rsidRPr="00DA604C" w:rsidRDefault="005B7C7E" w:rsidP="00DA604C">
      <w:pPr>
        <w:pStyle w:val="Templateinstruction"/>
      </w:pPr>
      <w:r>
        <w:rPr>
          <w:b/>
          <w:bCs/>
          <w:caps/>
        </w:rPr>
        <w:fldChar w:fldCharType="end"/>
      </w:r>
    </w:p>
    <w:p w:rsidR="00707E8E" w:rsidRDefault="00707E8E" w:rsidP="00DA604C"/>
    <w:p w:rsidR="00AD3664" w:rsidRDefault="00AD3664" w:rsidP="00DA604C"/>
    <w:tbl>
      <w:tblPr>
        <w:tblW w:w="9072" w:type="dxa"/>
        <w:tblLayout w:type="fixed"/>
        <w:tblCellMar>
          <w:left w:w="28" w:type="dxa"/>
          <w:right w:w="28" w:type="dxa"/>
        </w:tblCellMar>
        <w:tblLook w:val="01E0" w:firstRow="1" w:lastRow="1" w:firstColumn="1" w:lastColumn="1" w:noHBand="0" w:noVBand="0"/>
      </w:tblPr>
      <w:tblGrid>
        <w:gridCol w:w="1260"/>
        <w:gridCol w:w="1008"/>
        <w:gridCol w:w="6804"/>
      </w:tblGrid>
      <w:tr w:rsidR="002D7201" w:rsidTr="009C5D93">
        <w:trPr>
          <w:cantSplit/>
          <w:tblHeader/>
        </w:trPr>
        <w:tc>
          <w:tcPr>
            <w:tcW w:w="9072" w:type="dxa"/>
            <w:gridSpan w:val="3"/>
            <w:tcBorders>
              <w:top w:val="single" w:sz="4" w:space="0" w:color="BFBFBF" w:themeColor="background1" w:themeShade="BF"/>
              <w:left w:val="nil"/>
              <w:bottom w:val="single" w:sz="4" w:space="0" w:color="BFBFBF" w:themeColor="background1" w:themeShade="BF"/>
              <w:right w:val="single" w:sz="4" w:space="0" w:color="C0C0C0"/>
            </w:tcBorders>
            <w:shd w:val="clear" w:color="auto" w:fill="00427A"/>
          </w:tcPr>
          <w:p w:rsidR="002D7201" w:rsidRPr="002D7201" w:rsidRDefault="002D7201" w:rsidP="009C5D93">
            <w:pPr>
              <w:pStyle w:val="Table2"/>
              <w:keepNext/>
              <w:keepLines/>
              <w:framePr w:hSpace="0" w:wrap="auto" w:vAnchor="margin" w:xAlign="left" w:yAlign="inline"/>
              <w:rPr>
                <w:b/>
                <w:color w:val="FFFFFF" w:themeColor="background1"/>
                <w:sz w:val="22"/>
                <w:lang w:val="en-US"/>
              </w:rPr>
            </w:pPr>
            <w:r w:rsidRPr="002D7201">
              <w:rPr>
                <w:b/>
                <w:color w:val="FFFFFF" w:themeColor="background1"/>
                <w:sz w:val="22"/>
                <w:lang w:val="en-US"/>
              </w:rPr>
              <w:t>REVISION RECORD</w:t>
            </w:r>
          </w:p>
        </w:tc>
      </w:tr>
      <w:tr w:rsidR="002D7201" w:rsidTr="009C5D93">
        <w:trPr>
          <w:cantSplit/>
          <w:tblHeader/>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shd w:val="clear" w:color="auto" w:fill="808080" w:themeFill="background1" w:themeFillShade="80"/>
            <w:hideMark/>
          </w:tcPr>
          <w:p w:rsidR="002D7201" w:rsidRDefault="002D7201" w:rsidP="009C5D93">
            <w:pPr>
              <w:pStyle w:val="Table2"/>
              <w:keepNext/>
              <w:keepLines/>
              <w:framePr w:hSpace="0" w:wrap="auto" w:vAnchor="margin" w:xAlign="left" w:yAlign="inline"/>
              <w:jc w:val="center"/>
              <w:rPr>
                <w:b/>
                <w:color w:val="FFFFFF" w:themeColor="background1"/>
                <w:lang w:val="en-US"/>
              </w:rPr>
            </w:pPr>
            <w:r>
              <w:rPr>
                <w:b/>
                <w:color w:val="FFFFFF" w:themeColor="background1"/>
                <w:lang w:val="en-US"/>
              </w:rPr>
              <w:t>Date</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808080" w:themeFill="background1" w:themeFillShade="80"/>
            <w:hideMark/>
          </w:tcPr>
          <w:p w:rsidR="002D7201" w:rsidRDefault="002D7201" w:rsidP="009C5D93">
            <w:pPr>
              <w:pStyle w:val="Table2"/>
              <w:keepNext/>
              <w:keepLines/>
              <w:framePr w:hSpace="0" w:wrap="auto" w:vAnchor="margin" w:xAlign="left" w:yAlign="inline"/>
              <w:jc w:val="center"/>
              <w:rPr>
                <w:b/>
                <w:color w:val="FFFFFF" w:themeColor="background1"/>
                <w:lang w:val="en-US"/>
              </w:rPr>
            </w:pPr>
            <w:r>
              <w:rPr>
                <w:b/>
                <w:color w:val="FFFFFF" w:themeColor="background1"/>
                <w:lang w:val="en-US"/>
              </w:rPr>
              <w:t>Version</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shd w:val="clear" w:color="auto" w:fill="808080" w:themeFill="background1" w:themeFillShade="80"/>
            <w:hideMark/>
          </w:tcPr>
          <w:p w:rsidR="002D7201" w:rsidRDefault="002D7201" w:rsidP="009C5D93">
            <w:pPr>
              <w:pStyle w:val="Table2"/>
              <w:keepNext/>
              <w:keepLines/>
              <w:framePr w:hSpace="0" w:wrap="auto" w:vAnchor="margin" w:xAlign="left" w:yAlign="inline"/>
              <w:rPr>
                <w:b/>
                <w:color w:val="FFFFFF" w:themeColor="background1"/>
                <w:lang w:val="en-US"/>
              </w:rPr>
            </w:pPr>
            <w:r>
              <w:rPr>
                <w:b/>
                <w:color w:val="FFFFFF" w:themeColor="background1"/>
                <w:lang w:val="en-US"/>
              </w:rPr>
              <w:t>Revision description</w:t>
            </w:r>
          </w:p>
        </w:tc>
      </w:tr>
      <w:tr w:rsidR="002D7201" w:rsidTr="00865D7E">
        <w:trPr>
          <w:cantSplit/>
          <w:trHeight w:hRule="exact" w:val="418"/>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tcPr>
          <w:p w:rsidR="002D7201" w:rsidRPr="00865D7E" w:rsidRDefault="00865D7E" w:rsidP="009C5D93">
            <w:pPr>
              <w:pStyle w:val="Table2"/>
              <w:keepNext/>
              <w:keepLines/>
              <w:framePr w:hSpace="0" w:wrap="auto" w:vAnchor="margin" w:xAlign="left" w:yAlign="inline"/>
              <w:jc w:val="center"/>
              <w:rPr>
                <w:color w:val="000000" w:themeColor="text1"/>
                <w:sz w:val="20"/>
                <w:szCs w:val="20"/>
                <w:lang w:val="en-US"/>
              </w:rPr>
            </w:pPr>
            <w:r w:rsidRPr="00865D7E">
              <w:rPr>
                <w:color w:val="000000" w:themeColor="text1"/>
                <w:sz w:val="20"/>
                <w:szCs w:val="20"/>
                <w:lang w:val="en-US"/>
              </w:rPr>
              <w:t>11/08/2010</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tcPr>
          <w:p w:rsidR="002D7201" w:rsidRPr="00865D7E" w:rsidRDefault="00865D7E" w:rsidP="009C5D93">
            <w:pPr>
              <w:pStyle w:val="Table2"/>
              <w:keepNext/>
              <w:keepLines/>
              <w:framePr w:hSpace="0" w:wrap="auto" w:vAnchor="margin" w:xAlign="left" w:yAlign="inline"/>
              <w:jc w:val="center"/>
              <w:rPr>
                <w:color w:val="000000" w:themeColor="text1"/>
                <w:sz w:val="20"/>
                <w:szCs w:val="20"/>
                <w:lang w:val="en-US"/>
              </w:rPr>
            </w:pPr>
            <w:r w:rsidRPr="00865D7E">
              <w:rPr>
                <w:color w:val="000000" w:themeColor="text1"/>
                <w:sz w:val="20"/>
                <w:szCs w:val="20"/>
                <w:lang w:val="en-US"/>
              </w:rPr>
              <w:t>1.0</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tcPr>
          <w:p w:rsidR="002D7201" w:rsidRPr="00865D7E" w:rsidRDefault="00865D7E" w:rsidP="009C5D93">
            <w:pPr>
              <w:pStyle w:val="Table2"/>
              <w:keepNext/>
              <w:keepLines/>
              <w:framePr w:hSpace="0" w:wrap="auto" w:vAnchor="margin" w:xAlign="left" w:yAlign="inline"/>
              <w:rPr>
                <w:color w:val="000000" w:themeColor="text1"/>
                <w:sz w:val="20"/>
                <w:szCs w:val="20"/>
                <w:lang w:val="en-US"/>
              </w:rPr>
            </w:pPr>
            <w:r w:rsidRPr="00865D7E">
              <w:rPr>
                <w:color w:val="000000" w:themeColor="text1"/>
                <w:sz w:val="20"/>
                <w:szCs w:val="20"/>
                <w:lang w:val="en-US"/>
              </w:rPr>
              <w:t>Policy a</w:t>
            </w:r>
            <w:r>
              <w:rPr>
                <w:color w:val="000000" w:themeColor="text1"/>
                <w:sz w:val="20"/>
                <w:szCs w:val="20"/>
                <w:lang w:val="en-US"/>
              </w:rPr>
              <w:t>pproved by PIRSA Chief Executive.</w:t>
            </w:r>
          </w:p>
        </w:tc>
      </w:tr>
      <w:tr w:rsidR="002D7201" w:rsidTr="00865D7E">
        <w:trPr>
          <w:cantSplit/>
          <w:trHeight w:hRule="exact" w:val="418"/>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tcPr>
          <w:p w:rsidR="002D7201" w:rsidRPr="00865D7E" w:rsidRDefault="00865D7E" w:rsidP="009C5D93">
            <w:pPr>
              <w:pStyle w:val="Table2"/>
              <w:keepNext/>
              <w:keepLines/>
              <w:framePr w:hSpace="0" w:wrap="auto" w:vAnchor="margin" w:xAlign="left" w:yAlign="inline"/>
              <w:jc w:val="center"/>
              <w:rPr>
                <w:color w:val="000000" w:themeColor="text1"/>
                <w:sz w:val="20"/>
                <w:szCs w:val="20"/>
                <w:lang w:val="en-US"/>
              </w:rPr>
            </w:pPr>
            <w:r>
              <w:rPr>
                <w:color w:val="000000" w:themeColor="text1"/>
                <w:sz w:val="20"/>
                <w:szCs w:val="20"/>
                <w:lang w:val="en-US"/>
              </w:rPr>
              <w:t>19/11/2013</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tcPr>
          <w:p w:rsidR="002D7201" w:rsidRPr="00865D7E" w:rsidRDefault="00865D7E" w:rsidP="009C5D93">
            <w:pPr>
              <w:pStyle w:val="Table2"/>
              <w:keepNext/>
              <w:keepLines/>
              <w:framePr w:hSpace="0" w:wrap="auto" w:vAnchor="margin" w:xAlign="left" w:yAlign="inline"/>
              <w:jc w:val="center"/>
              <w:rPr>
                <w:color w:val="000000" w:themeColor="text1"/>
                <w:sz w:val="20"/>
                <w:szCs w:val="20"/>
                <w:lang w:val="en-US"/>
              </w:rPr>
            </w:pPr>
            <w:r>
              <w:rPr>
                <w:color w:val="000000" w:themeColor="text1"/>
                <w:sz w:val="20"/>
                <w:szCs w:val="20"/>
                <w:lang w:val="en-US"/>
              </w:rPr>
              <w:t>1.1</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tcPr>
          <w:p w:rsidR="002D7201" w:rsidRPr="00865D7E" w:rsidRDefault="00865D7E" w:rsidP="009C5D93">
            <w:pPr>
              <w:pStyle w:val="Table2"/>
              <w:keepNext/>
              <w:keepLines/>
              <w:framePr w:hSpace="0" w:wrap="auto" w:vAnchor="margin" w:xAlign="left" w:yAlign="inline"/>
              <w:rPr>
                <w:color w:val="000000" w:themeColor="text1"/>
                <w:sz w:val="20"/>
                <w:szCs w:val="20"/>
                <w:lang w:val="en-US"/>
              </w:rPr>
            </w:pPr>
            <w:r>
              <w:rPr>
                <w:color w:val="000000" w:themeColor="text1"/>
                <w:sz w:val="20"/>
                <w:szCs w:val="20"/>
                <w:lang w:val="en-US"/>
              </w:rPr>
              <w:t>Revised policy containing minor edits approved by PIRSA Executive.</w:t>
            </w:r>
          </w:p>
        </w:tc>
      </w:tr>
      <w:tr w:rsidR="00865D7E" w:rsidTr="00865D7E">
        <w:trPr>
          <w:cantSplit/>
          <w:trHeight w:hRule="exact" w:val="418"/>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tcPr>
          <w:p w:rsidR="00865D7E" w:rsidRPr="00865D7E" w:rsidRDefault="00865D7E" w:rsidP="00AD3664">
            <w:pPr>
              <w:pStyle w:val="Table2"/>
              <w:keepNext/>
              <w:keepLines/>
              <w:framePr w:hSpace="0" w:wrap="auto" w:vAnchor="margin" w:xAlign="left" w:yAlign="inline"/>
              <w:jc w:val="center"/>
              <w:rPr>
                <w:color w:val="000000" w:themeColor="text1"/>
                <w:sz w:val="20"/>
                <w:szCs w:val="20"/>
                <w:lang w:val="en-US"/>
              </w:rPr>
            </w:pPr>
            <w:r>
              <w:rPr>
                <w:color w:val="000000" w:themeColor="text1"/>
                <w:sz w:val="20"/>
                <w:szCs w:val="20"/>
                <w:lang w:val="en-US"/>
              </w:rPr>
              <w:t>23/09/2014</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tcPr>
          <w:p w:rsidR="00865D7E" w:rsidRPr="00865D7E" w:rsidRDefault="00865D7E" w:rsidP="00AD3664">
            <w:pPr>
              <w:pStyle w:val="Table2"/>
              <w:keepNext/>
              <w:keepLines/>
              <w:framePr w:hSpace="0" w:wrap="auto" w:vAnchor="margin" w:xAlign="left" w:yAlign="inline"/>
              <w:jc w:val="center"/>
              <w:rPr>
                <w:color w:val="000000" w:themeColor="text1"/>
                <w:sz w:val="20"/>
                <w:szCs w:val="20"/>
                <w:lang w:val="en-US"/>
              </w:rPr>
            </w:pPr>
            <w:r>
              <w:rPr>
                <w:color w:val="000000" w:themeColor="text1"/>
                <w:sz w:val="20"/>
                <w:szCs w:val="20"/>
                <w:lang w:val="en-US"/>
              </w:rPr>
              <w:t>1.2</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tcPr>
          <w:p w:rsidR="00865D7E" w:rsidRPr="00865D7E" w:rsidRDefault="00865D7E" w:rsidP="00AD3664">
            <w:pPr>
              <w:pStyle w:val="Table2"/>
              <w:keepNext/>
              <w:keepLines/>
              <w:framePr w:hSpace="0" w:wrap="auto" w:vAnchor="margin" w:xAlign="left" w:yAlign="inline"/>
              <w:rPr>
                <w:color w:val="000000" w:themeColor="text1"/>
                <w:sz w:val="20"/>
                <w:szCs w:val="20"/>
                <w:lang w:val="en-US"/>
              </w:rPr>
            </w:pPr>
            <w:r>
              <w:rPr>
                <w:color w:val="000000" w:themeColor="text1"/>
                <w:sz w:val="20"/>
                <w:szCs w:val="20"/>
                <w:lang w:val="en-US"/>
              </w:rPr>
              <w:t>Revised policy containing minor edits approved by PIRSA Executive.</w:t>
            </w:r>
          </w:p>
        </w:tc>
      </w:tr>
      <w:tr w:rsidR="00865D7E" w:rsidTr="00865D7E">
        <w:trPr>
          <w:cantSplit/>
          <w:trHeight w:hRule="exact" w:val="418"/>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tcPr>
          <w:p w:rsidR="00865D7E" w:rsidRPr="00865D7E" w:rsidRDefault="00865D7E" w:rsidP="00AD3664">
            <w:pPr>
              <w:pStyle w:val="Table2"/>
              <w:keepNext/>
              <w:keepLines/>
              <w:framePr w:hSpace="0" w:wrap="auto" w:vAnchor="margin" w:xAlign="left" w:yAlign="inline"/>
              <w:jc w:val="center"/>
              <w:rPr>
                <w:color w:val="000000" w:themeColor="text1"/>
                <w:sz w:val="20"/>
                <w:szCs w:val="20"/>
                <w:lang w:val="en-US"/>
              </w:rPr>
            </w:pPr>
            <w:r>
              <w:rPr>
                <w:color w:val="000000" w:themeColor="text1"/>
                <w:sz w:val="20"/>
                <w:szCs w:val="20"/>
                <w:lang w:val="en-US"/>
              </w:rPr>
              <w:t>01/09/2015</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tcPr>
          <w:p w:rsidR="00865D7E" w:rsidRPr="00865D7E" w:rsidRDefault="00865D7E" w:rsidP="00AD3664">
            <w:pPr>
              <w:pStyle w:val="Table2"/>
              <w:keepNext/>
              <w:keepLines/>
              <w:framePr w:hSpace="0" w:wrap="auto" w:vAnchor="margin" w:xAlign="left" w:yAlign="inline"/>
              <w:jc w:val="center"/>
              <w:rPr>
                <w:color w:val="000000" w:themeColor="text1"/>
                <w:sz w:val="20"/>
                <w:szCs w:val="20"/>
                <w:lang w:val="en-US"/>
              </w:rPr>
            </w:pPr>
            <w:r>
              <w:rPr>
                <w:color w:val="000000" w:themeColor="text1"/>
                <w:sz w:val="20"/>
                <w:szCs w:val="20"/>
                <w:lang w:val="en-US"/>
              </w:rPr>
              <w:t>1.3</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tcPr>
          <w:p w:rsidR="00865D7E" w:rsidRPr="00865D7E" w:rsidRDefault="00865D7E" w:rsidP="00AD3664">
            <w:pPr>
              <w:pStyle w:val="Table2"/>
              <w:keepNext/>
              <w:keepLines/>
              <w:framePr w:hSpace="0" w:wrap="auto" w:vAnchor="margin" w:xAlign="left" w:yAlign="inline"/>
              <w:rPr>
                <w:color w:val="000000" w:themeColor="text1"/>
                <w:sz w:val="20"/>
                <w:szCs w:val="20"/>
                <w:lang w:val="en-US"/>
              </w:rPr>
            </w:pPr>
            <w:r>
              <w:rPr>
                <w:color w:val="000000" w:themeColor="text1"/>
                <w:sz w:val="20"/>
                <w:szCs w:val="20"/>
                <w:lang w:val="en-US"/>
              </w:rPr>
              <w:t>Revised policy to address Deloitte’s 2015 review recommendations.</w:t>
            </w:r>
          </w:p>
        </w:tc>
      </w:tr>
      <w:tr w:rsidR="00865D7E" w:rsidTr="00AD3664">
        <w:trPr>
          <w:cantSplit/>
          <w:trHeight w:hRule="exact" w:val="418"/>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tcPr>
          <w:p w:rsidR="00865D7E" w:rsidRPr="00865D7E" w:rsidRDefault="00865D7E" w:rsidP="00AD3664">
            <w:pPr>
              <w:pStyle w:val="Table2"/>
              <w:keepNext/>
              <w:keepLines/>
              <w:framePr w:hSpace="0" w:wrap="auto" w:vAnchor="margin" w:xAlign="left" w:yAlign="inline"/>
              <w:jc w:val="center"/>
              <w:rPr>
                <w:color w:val="000000" w:themeColor="text1"/>
                <w:sz w:val="20"/>
                <w:szCs w:val="20"/>
                <w:lang w:val="en-US"/>
              </w:rPr>
            </w:pPr>
            <w:r>
              <w:rPr>
                <w:color w:val="000000" w:themeColor="text1"/>
                <w:sz w:val="20"/>
                <w:szCs w:val="20"/>
                <w:lang w:val="en-US"/>
              </w:rPr>
              <w:t>27/09/2016</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tcPr>
          <w:p w:rsidR="00865D7E" w:rsidRPr="00865D7E" w:rsidRDefault="00865D7E" w:rsidP="00AD3664">
            <w:pPr>
              <w:pStyle w:val="Table2"/>
              <w:keepNext/>
              <w:keepLines/>
              <w:framePr w:hSpace="0" w:wrap="auto" w:vAnchor="margin" w:xAlign="left" w:yAlign="inline"/>
              <w:jc w:val="center"/>
              <w:rPr>
                <w:color w:val="000000" w:themeColor="text1"/>
                <w:sz w:val="20"/>
                <w:szCs w:val="20"/>
                <w:lang w:val="en-US"/>
              </w:rPr>
            </w:pPr>
            <w:r>
              <w:rPr>
                <w:color w:val="000000" w:themeColor="text1"/>
                <w:sz w:val="20"/>
                <w:szCs w:val="20"/>
                <w:lang w:val="en-US"/>
              </w:rPr>
              <w:t>1.4</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tcPr>
          <w:p w:rsidR="00865D7E" w:rsidRPr="00865D7E" w:rsidRDefault="00865D7E" w:rsidP="00AD3664">
            <w:pPr>
              <w:pStyle w:val="Table2"/>
              <w:keepNext/>
              <w:keepLines/>
              <w:framePr w:hSpace="0" w:wrap="auto" w:vAnchor="margin" w:xAlign="left" w:yAlign="inline"/>
              <w:rPr>
                <w:color w:val="000000" w:themeColor="text1"/>
                <w:sz w:val="20"/>
                <w:szCs w:val="20"/>
                <w:lang w:val="en-US"/>
              </w:rPr>
            </w:pPr>
            <w:r>
              <w:rPr>
                <w:color w:val="000000" w:themeColor="text1"/>
                <w:sz w:val="20"/>
                <w:szCs w:val="20"/>
                <w:lang w:val="en-US"/>
              </w:rPr>
              <w:t>Revised policy containing minor edits approved by PIRSA Executive.</w:t>
            </w:r>
          </w:p>
        </w:tc>
      </w:tr>
      <w:tr w:rsidR="00865D7E" w:rsidTr="00AD3664">
        <w:trPr>
          <w:cantSplit/>
          <w:trHeight w:hRule="exact" w:val="418"/>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tcPr>
          <w:p w:rsidR="00865D7E" w:rsidRPr="00865D7E" w:rsidRDefault="00865D7E" w:rsidP="00AD3664">
            <w:pPr>
              <w:pStyle w:val="Table2"/>
              <w:keepNext/>
              <w:keepLines/>
              <w:framePr w:hSpace="0" w:wrap="auto" w:vAnchor="margin" w:xAlign="left" w:yAlign="inline"/>
              <w:jc w:val="center"/>
              <w:rPr>
                <w:color w:val="000000" w:themeColor="text1"/>
                <w:sz w:val="20"/>
                <w:szCs w:val="20"/>
                <w:lang w:val="en-US"/>
              </w:rPr>
            </w:pPr>
            <w:r>
              <w:rPr>
                <w:color w:val="000000" w:themeColor="text1"/>
                <w:sz w:val="20"/>
                <w:szCs w:val="20"/>
                <w:lang w:val="en-US"/>
              </w:rPr>
              <w:t>22/05/2018</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tcPr>
          <w:p w:rsidR="00865D7E" w:rsidRPr="00865D7E" w:rsidRDefault="00865D7E" w:rsidP="00AD3664">
            <w:pPr>
              <w:pStyle w:val="Table2"/>
              <w:keepNext/>
              <w:keepLines/>
              <w:framePr w:hSpace="0" w:wrap="auto" w:vAnchor="margin" w:xAlign="left" w:yAlign="inline"/>
              <w:jc w:val="center"/>
              <w:rPr>
                <w:color w:val="000000" w:themeColor="text1"/>
                <w:sz w:val="20"/>
                <w:szCs w:val="20"/>
                <w:lang w:val="en-US"/>
              </w:rPr>
            </w:pPr>
            <w:r>
              <w:rPr>
                <w:color w:val="000000" w:themeColor="text1"/>
                <w:sz w:val="20"/>
                <w:szCs w:val="20"/>
                <w:lang w:val="en-US"/>
              </w:rPr>
              <w:t>1.5</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tcPr>
          <w:p w:rsidR="00865D7E" w:rsidRPr="00865D7E" w:rsidRDefault="00865D7E" w:rsidP="00AD3664">
            <w:pPr>
              <w:pStyle w:val="Table2"/>
              <w:keepNext/>
              <w:keepLines/>
              <w:framePr w:hSpace="0" w:wrap="auto" w:vAnchor="margin" w:xAlign="left" w:yAlign="inline"/>
              <w:rPr>
                <w:color w:val="000000" w:themeColor="text1"/>
                <w:sz w:val="20"/>
                <w:szCs w:val="20"/>
                <w:lang w:val="en-US"/>
              </w:rPr>
            </w:pPr>
            <w:r>
              <w:rPr>
                <w:color w:val="000000" w:themeColor="text1"/>
                <w:sz w:val="20"/>
                <w:szCs w:val="20"/>
                <w:lang w:val="en-US"/>
              </w:rPr>
              <w:t>Policy responsible position title and logos on front cover updated.</w:t>
            </w:r>
          </w:p>
        </w:tc>
      </w:tr>
      <w:tr w:rsidR="00865D7E" w:rsidTr="00AD3664">
        <w:trPr>
          <w:cantSplit/>
          <w:trHeight w:hRule="exact" w:val="418"/>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tcPr>
          <w:p w:rsidR="00865D7E" w:rsidRPr="00865D7E" w:rsidRDefault="00865D7E" w:rsidP="00AD3664">
            <w:pPr>
              <w:pStyle w:val="Table2"/>
              <w:keepNext/>
              <w:keepLines/>
              <w:framePr w:hSpace="0" w:wrap="auto" w:vAnchor="margin" w:xAlign="left" w:yAlign="inline"/>
              <w:jc w:val="center"/>
              <w:rPr>
                <w:color w:val="000000" w:themeColor="text1"/>
                <w:sz w:val="20"/>
                <w:szCs w:val="20"/>
                <w:lang w:val="en-US"/>
              </w:rPr>
            </w:pPr>
            <w:r>
              <w:rPr>
                <w:color w:val="000000" w:themeColor="text1"/>
                <w:sz w:val="20"/>
                <w:szCs w:val="20"/>
                <w:lang w:val="en-US"/>
              </w:rPr>
              <w:t>08/05/2019</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tcPr>
          <w:p w:rsidR="00865D7E" w:rsidRPr="00865D7E" w:rsidRDefault="00865D7E" w:rsidP="00AD3664">
            <w:pPr>
              <w:pStyle w:val="Table2"/>
              <w:keepNext/>
              <w:keepLines/>
              <w:framePr w:hSpace="0" w:wrap="auto" w:vAnchor="margin" w:xAlign="left" w:yAlign="inline"/>
              <w:jc w:val="center"/>
              <w:rPr>
                <w:color w:val="000000" w:themeColor="text1"/>
                <w:sz w:val="20"/>
                <w:szCs w:val="20"/>
                <w:lang w:val="en-US"/>
              </w:rPr>
            </w:pPr>
            <w:r>
              <w:rPr>
                <w:color w:val="000000" w:themeColor="text1"/>
                <w:sz w:val="20"/>
                <w:szCs w:val="20"/>
                <w:lang w:val="en-US"/>
              </w:rPr>
              <w:t>1.6</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tcPr>
          <w:p w:rsidR="00865D7E" w:rsidRPr="00865D7E" w:rsidRDefault="00865D7E" w:rsidP="00AD3664">
            <w:pPr>
              <w:pStyle w:val="Table2"/>
              <w:keepNext/>
              <w:keepLines/>
              <w:framePr w:hSpace="0" w:wrap="auto" w:vAnchor="margin" w:xAlign="left" w:yAlign="inline"/>
              <w:rPr>
                <w:color w:val="000000" w:themeColor="text1"/>
                <w:sz w:val="20"/>
                <w:szCs w:val="20"/>
                <w:lang w:val="en-US"/>
              </w:rPr>
            </w:pPr>
            <w:r>
              <w:rPr>
                <w:color w:val="000000" w:themeColor="text1"/>
                <w:sz w:val="20"/>
                <w:szCs w:val="20"/>
                <w:lang w:val="en-US"/>
              </w:rPr>
              <w:t>Revised policy to address KPMG’s 2018 review recommendations.</w:t>
            </w:r>
          </w:p>
        </w:tc>
      </w:tr>
    </w:tbl>
    <w:p w:rsidR="005205A0" w:rsidRDefault="005205A0" w:rsidP="00F8642E"/>
    <w:p w:rsidR="00802F4D" w:rsidRPr="00343454" w:rsidRDefault="00802F4D" w:rsidP="00F8642E"/>
    <w:tbl>
      <w:tblPr>
        <w:tblW w:w="9072" w:type="dxa"/>
        <w:tblLayout w:type="fixed"/>
        <w:tblCellMar>
          <w:left w:w="28" w:type="dxa"/>
          <w:right w:w="28" w:type="dxa"/>
        </w:tblCellMar>
        <w:tblLook w:val="01E0" w:firstRow="1" w:lastRow="1" w:firstColumn="1" w:lastColumn="1" w:noHBand="0" w:noVBand="0"/>
      </w:tblPr>
      <w:tblGrid>
        <w:gridCol w:w="1260"/>
        <w:gridCol w:w="1008"/>
        <w:gridCol w:w="6804"/>
      </w:tblGrid>
      <w:tr w:rsidR="005205A0" w:rsidTr="00AD3664">
        <w:trPr>
          <w:cantSplit/>
          <w:tblHeader/>
        </w:trPr>
        <w:tc>
          <w:tcPr>
            <w:tcW w:w="9072" w:type="dxa"/>
            <w:gridSpan w:val="3"/>
            <w:tcBorders>
              <w:top w:val="single" w:sz="4" w:space="0" w:color="BFBFBF" w:themeColor="background1" w:themeShade="BF"/>
              <w:left w:val="nil"/>
              <w:bottom w:val="single" w:sz="4" w:space="0" w:color="BFBFBF" w:themeColor="background1" w:themeShade="BF"/>
              <w:right w:val="single" w:sz="4" w:space="0" w:color="C0C0C0"/>
            </w:tcBorders>
            <w:shd w:val="clear" w:color="auto" w:fill="00427A"/>
          </w:tcPr>
          <w:p w:rsidR="005205A0" w:rsidRPr="002D7201" w:rsidRDefault="005205A0" w:rsidP="00AD3664">
            <w:pPr>
              <w:pStyle w:val="Table2"/>
              <w:keepNext/>
              <w:keepLines/>
              <w:framePr w:hSpace="0" w:wrap="auto" w:vAnchor="margin" w:xAlign="left" w:yAlign="inline"/>
              <w:rPr>
                <w:b/>
                <w:color w:val="FFFFFF" w:themeColor="background1"/>
                <w:sz w:val="22"/>
                <w:lang w:val="en-US"/>
              </w:rPr>
            </w:pPr>
            <w:r w:rsidRPr="005205A0">
              <w:rPr>
                <w:b/>
                <w:color w:val="FFFFFF" w:themeColor="background1"/>
                <w:sz w:val="22"/>
                <w:lang w:val="en-US"/>
              </w:rPr>
              <w:t>RISK ASSESSMENT</w:t>
            </w:r>
          </w:p>
        </w:tc>
      </w:tr>
      <w:tr w:rsidR="005205A0" w:rsidTr="00AD3664">
        <w:trPr>
          <w:cantSplit/>
          <w:tblHeader/>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shd w:val="clear" w:color="auto" w:fill="808080" w:themeFill="background1" w:themeFillShade="80"/>
            <w:hideMark/>
          </w:tcPr>
          <w:p w:rsidR="005205A0" w:rsidRDefault="005205A0" w:rsidP="00AD3664">
            <w:pPr>
              <w:pStyle w:val="Table2"/>
              <w:keepNext/>
              <w:keepLines/>
              <w:framePr w:hSpace="0" w:wrap="auto" w:vAnchor="margin" w:xAlign="left" w:yAlign="inline"/>
              <w:jc w:val="center"/>
              <w:rPr>
                <w:b/>
                <w:color w:val="FFFFFF" w:themeColor="background1"/>
                <w:lang w:val="en-US"/>
              </w:rPr>
            </w:pPr>
            <w:r>
              <w:rPr>
                <w:b/>
                <w:color w:val="FFFFFF" w:themeColor="background1"/>
                <w:lang w:val="en-US"/>
              </w:rPr>
              <w:t>Date</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shd w:val="clear" w:color="auto" w:fill="808080" w:themeFill="background1" w:themeFillShade="80"/>
            <w:hideMark/>
          </w:tcPr>
          <w:p w:rsidR="005205A0" w:rsidRDefault="005205A0" w:rsidP="00AD3664">
            <w:pPr>
              <w:pStyle w:val="Table2"/>
              <w:keepNext/>
              <w:keepLines/>
              <w:framePr w:hSpace="0" w:wrap="auto" w:vAnchor="margin" w:xAlign="left" w:yAlign="inline"/>
              <w:jc w:val="center"/>
              <w:rPr>
                <w:b/>
                <w:color w:val="FFFFFF" w:themeColor="background1"/>
                <w:lang w:val="en-US"/>
              </w:rPr>
            </w:pPr>
            <w:r w:rsidRPr="005205A0">
              <w:rPr>
                <w:b/>
                <w:color w:val="FFFFFF" w:themeColor="background1"/>
                <w:lang w:val="en-US"/>
              </w:rPr>
              <w:t>Risk Rating</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shd w:val="clear" w:color="auto" w:fill="808080" w:themeFill="background1" w:themeFillShade="80"/>
            <w:hideMark/>
          </w:tcPr>
          <w:p w:rsidR="005205A0" w:rsidRDefault="005205A0" w:rsidP="00AD3664">
            <w:pPr>
              <w:pStyle w:val="Table2"/>
              <w:keepNext/>
              <w:keepLines/>
              <w:framePr w:hSpace="0" w:wrap="auto" w:vAnchor="margin" w:xAlign="left" w:yAlign="inline"/>
              <w:rPr>
                <w:b/>
                <w:color w:val="FFFFFF" w:themeColor="background1"/>
                <w:lang w:val="en-US"/>
              </w:rPr>
            </w:pPr>
            <w:r w:rsidRPr="005205A0">
              <w:rPr>
                <w:b/>
                <w:color w:val="FFFFFF" w:themeColor="background1"/>
                <w:lang w:val="en-US"/>
              </w:rPr>
              <w:t>Risk Assessment Evaluation</w:t>
            </w:r>
          </w:p>
        </w:tc>
      </w:tr>
      <w:tr w:rsidR="005205A0" w:rsidTr="00AD3664">
        <w:trPr>
          <w:cantSplit/>
          <w:trHeight w:hRule="exact" w:val="418"/>
        </w:trPr>
        <w:tc>
          <w:tcPr>
            <w:tcW w:w="1260" w:type="dxa"/>
            <w:tcBorders>
              <w:top w:val="single" w:sz="4" w:space="0" w:color="BFBFBF" w:themeColor="background1" w:themeShade="BF"/>
              <w:left w:val="nil"/>
              <w:bottom w:val="single" w:sz="4" w:space="0" w:color="BFBFBF" w:themeColor="background1" w:themeShade="BF"/>
              <w:right w:val="single" w:sz="4" w:space="0" w:color="C0C0C0"/>
            </w:tcBorders>
            <w:hideMark/>
          </w:tcPr>
          <w:p w:rsidR="005205A0" w:rsidRPr="009231A4" w:rsidRDefault="009B3C03" w:rsidP="009B3C03">
            <w:pPr>
              <w:pStyle w:val="Table2"/>
              <w:keepNext/>
              <w:keepLines/>
              <w:framePr w:hSpace="0" w:wrap="auto" w:vAnchor="margin" w:xAlign="left" w:yAlign="inline"/>
              <w:jc w:val="center"/>
              <w:rPr>
                <w:color w:val="000000" w:themeColor="text1"/>
                <w:sz w:val="20"/>
                <w:szCs w:val="20"/>
                <w:lang w:val="en-US"/>
              </w:rPr>
            </w:pPr>
            <w:r w:rsidRPr="009231A4">
              <w:rPr>
                <w:color w:val="000000" w:themeColor="text1"/>
                <w:sz w:val="20"/>
                <w:szCs w:val="20"/>
                <w:lang w:val="en-US"/>
              </w:rPr>
              <w:t>18</w:t>
            </w:r>
            <w:r w:rsidR="005205A0" w:rsidRPr="009231A4">
              <w:rPr>
                <w:color w:val="000000" w:themeColor="text1"/>
                <w:sz w:val="20"/>
                <w:szCs w:val="20"/>
                <w:lang w:val="en-US"/>
              </w:rPr>
              <w:t>/</w:t>
            </w:r>
            <w:r w:rsidRPr="009231A4">
              <w:rPr>
                <w:color w:val="000000" w:themeColor="text1"/>
                <w:sz w:val="20"/>
                <w:szCs w:val="20"/>
                <w:lang w:val="en-US"/>
              </w:rPr>
              <w:t>05/2020</w:t>
            </w:r>
          </w:p>
        </w:tc>
        <w:tc>
          <w:tcPr>
            <w:tcW w:w="1008" w:type="dxa"/>
            <w:tcBorders>
              <w:top w:val="single" w:sz="4" w:space="0" w:color="BFBFBF" w:themeColor="background1" w:themeShade="BF"/>
              <w:left w:val="single" w:sz="4" w:space="0" w:color="C0C0C0"/>
              <w:bottom w:val="single" w:sz="4" w:space="0" w:color="BFBFBF" w:themeColor="background1" w:themeShade="BF"/>
              <w:right w:val="single" w:sz="4" w:space="0" w:color="C0C0C0"/>
            </w:tcBorders>
            <w:hideMark/>
          </w:tcPr>
          <w:p w:rsidR="005205A0" w:rsidRPr="009231A4" w:rsidRDefault="009B3C03" w:rsidP="00AD3664">
            <w:pPr>
              <w:pStyle w:val="Table2"/>
              <w:keepNext/>
              <w:keepLines/>
              <w:framePr w:hSpace="0" w:wrap="auto" w:vAnchor="margin" w:xAlign="left" w:yAlign="inline"/>
              <w:jc w:val="center"/>
              <w:rPr>
                <w:color w:val="000000" w:themeColor="text1"/>
                <w:sz w:val="20"/>
                <w:szCs w:val="20"/>
                <w:lang w:val="en-US"/>
              </w:rPr>
            </w:pPr>
            <w:r w:rsidRPr="009231A4">
              <w:rPr>
                <w:sz w:val="20"/>
                <w:szCs w:val="20"/>
                <w:lang w:val="en-US"/>
              </w:rPr>
              <w:t>Medium</w:t>
            </w:r>
          </w:p>
        </w:tc>
        <w:tc>
          <w:tcPr>
            <w:tcW w:w="6804" w:type="dxa"/>
            <w:tcBorders>
              <w:top w:val="single" w:sz="4" w:space="0" w:color="BFBFBF" w:themeColor="background1" w:themeShade="BF"/>
              <w:left w:val="single" w:sz="4" w:space="0" w:color="C0C0C0"/>
              <w:bottom w:val="single" w:sz="4" w:space="0" w:color="BFBFBF" w:themeColor="background1" w:themeShade="BF"/>
              <w:right w:val="nil"/>
            </w:tcBorders>
            <w:hideMark/>
          </w:tcPr>
          <w:p w:rsidR="005205A0" w:rsidRPr="009231A4" w:rsidRDefault="009B3C03" w:rsidP="00AD3664">
            <w:pPr>
              <w:pStyle w:val="Table2"/>
              <w:keepNext/>
              <w:keepLines/>
              <w:framePr w:hSpace="0" w:wrap="auto" w:vAnchor="margin" w:xAlign="left" w:yAlign="inline"/>
              <w:rPr>
                <w:color w:val="000000" w:themeColor="text1"/>
                <w:sz w:val="20"/>
                <w:szCs w:val="20"/>
                <w:lang w:val="en-US"/>
              </w:rPr>
            </w:pPr>
            <w:r w:rsidRPr="009231A4">
              <w:rPr>
                <w:sz w:val="20"/>
                <w:szCs w:val="20"/>
                <w:lang w:val="en-US"/>
              </w:rPr>
              <w:t>Moderate consequences/ risk of financial loss.</w:t>
            </w:r>
          </w:p>
        </w:tc>
      </w:tr>
    </w:tbl>
    <w:p w:rsidR="006D343D" w:rsidRPr="00343454" w:rsidRDefault="006D343D" w:rsidP="00F8642E">
      <w:pPr>
        <w:sectPr w:rsidR="006D343D" w:rsidRPr="00343454" w:rsidSect="006D1046">
          <w:headerReference w:type="even" r:id="rId13"/>
          <w:headerReference w:type="default" r:id="rId14"/>
          <w:footerReference w:type="default" r:id="rId15"/>
          <w:headerReference w:type="first" r:id="rId16"/>
          <w:pgSz w:w="11906" w:h="16838" w:code="9"/>
          <w:pgMar w:top="1381" w:right="1418" w:bottom="1418" w:left="1418" w:header="709" w:footer="567" w:gutter="0"/>
          <w:pgNumType w:start="2"/>
          <w:cols w:space="708"/>
          <w:docGrid w:linePitch="360"/>
        </w:sectPr>
      </w:pPr>
    </w:p>
    <w:p w:rsidR="006D343D" w:rsidRDefault="006D343D" w:rsidP="00C3606C">
      <w:pPr>
        <w:pStyle w:val="Heading1"/>
      </w:pPr>
      <w:bookmarkStart w:id="2" w:name="_Toc40709372"/>
      <w:bookmarkStart w:id="3" w:name="_Toc20279480"/>
      <w:r w:rsidRPr="00343454">
        <w:lastRenderedPageBreak/>
        <w:t>Purpose</w:t>
      </w:r>
      <w:bookmarkEnd w:id="2"/>
    </w:p>
    <w:p w:rsidR="00AD3664" w:rsidRPr="00AD3664" w:rsidRDefault="00AD3664" w:rsidP="00AD3664">
      <w:r w:rsidRPr="00AD3664">
        <w:t>The policy will improve the consistency, transparency and accountability of existing and future cost recovery arrangements, assist in establishing the appropriate levels of service delivery, and promote the efficient and equitable allocation of resources.</w:t>
      </w:r>
    </w:p>
    <w:p w:rsidR="00AD3664" w:rsidRPr="00AD3664" w:rsidRDefault="00AD3664" w:rsidP="00AD3664">
      <w:r w:rsidRPr="00AD3664">
        <w:t xml:space="preserve">Used appropriately, cost recovery improves the efficiency with which government products and services are produced and consumed by transmitting an important message to users or their customers about the cost of resources involved. </w:t>
      </w:r>
    </w:p>
    <w:p w:rsidR="00AD3664" w:rsidRDefault="00AD3664" w:rsidP="00AD3664">
      <w:r w:rsidRPr="00AD3664">
        <w:t>It improves equity by ensuring that those who use and benefit from government products and services, or who create the need for regulation, bear the costs.</w:t>
      </w:r>
    </w:p>
    <w:p w:rsidR="00241065" w:rsidRPr="002C1B00" w:rsidRDefault="00241065" w:rsidP="00AD3664">
      <w:pPr>
        <w:pStyle w:val="Heading1"/>
      </w:pPr>
      <w:bookmarkStart w:id="4" w:name="_Toc40709373"/>
      <w:bookmarkStart w:id="5" w:name="_Toc20279481"/>
      <w:bookmarkStart w:id="6" w:name="_Toc35145199"/>
      <w:bookmarkStart w:id="7" w:name="_Toc112029966"/>
      <w:bookmarkStart w:id="8" w:name="_Toc137433831"/>
      <w:bookmarkStart w:id="9" w:name="_Toc139088319"/>
      <w:r w:rsidRPr="00AD3664">
        <w:t>Scope</w:t>
      </w:r>
      <w:bookmarkEnd w:id="4"/>
    </w:p>
    <w:p w:rsidR="007C037F" w:rsidRPr="00AD3664" w:rsidRDefault="007C037F" w:rsidP="007C037F">
      <w:pPr>
        <w:spacing w:after="120"/>
        <w:rPr>
          <w:lang w:eastAsia="en-AU"/>
        </w:rPr>
      </w:pPr>
      <w:r w:rsidRPr="00AD3664">
        <w:rPr>
          <w:lang w:eastAsia="en-AU"/>
        </w:rPr>
        <w:t>This policy should be used when PIRSA is:</w:t>
      </w:r>
    </w:p>
    <w:p w:rsidR="007C037F" w:rsidRPr="00AD3664" w:rsidRDefault="007C037F" w:rsidP="00D5542D">
      <w:pPr>
        <w:numPr>
          <w:ilvl w:val="0"/>
          <w:numId w:val="18"/>
        </w:numPr>
        <w:spacing w:after="120"/>
        <w:ind w:left="357" w:hanging="357"/>
        <w:rPr>
          <w:lang w:eastAsia="en-AU"/>
        </w:rPr>
      </w:pPr>
      <w:r w:rsidRPr="00AD3664">
        <w:rPr>
          <w:lang w:eastAsia="en-AU"/>
        </w:rPr>
        <w:t>proposing a new cost recovery arrangement</w:t>
      </w:r>
    </w:p>
    <w:p w:rsidR="007C037F" w:rsidRPr="00AD3664" w:rsidRDefault="007C037F" w:rsidP="00D5542D">
      <w:pPr>
        <w:numPr>
          <w:ilvl w:val="0"/>
          <w:numId w:val="18"/>
        </w:numPr>
        <w:spacing w:after="120"/>
        <w:ind w:left="357" w:hanging="357"/>
        <w:rPr>
          <w:lang w:eastAsia="en-AU"/>
        </w:rPr>
      </w:pPr>
      <w:r w:rsidRPr="00AD3664">
        <w:rPr>
          <w:lang w:eastAsia="en-AU"/>
        </w:rPr>
        <w:t>amending existing cost recovery arrangements, or</w:t>
      </w:r>
    </w:p>
    <w:p w:rsidR="007C037F" w:rsidRPr="00AD3664" w:rsidRDefault="007C037F" w:rsidP="00D5542D">
      <w:pPr>
        <w:numPr>
          <w:ilvl w:val="0"/>
          <w:numId w:val="18"/>
        </w:numPr>
        <w:ind w:left="357" w:hanging="357"/>
      </w:pPr>
      <w:r w:rsidRPr="00AD3664">
        <w:rPr>
          <w:lang w:eastAsia="en-AU"/>
        </w:rPr>
        <w:t>reviewing existing cost recovery arrangements in line with a PIRSA initiated periodic review or as otherwise required.</w:t>
      </w:r>
    </w:p>
    <w:p w:rsidR="007C037F" w:rsidRPr="00AD3664" w:rsidRDefault="007C037F" w:rsidP="007C037F">
      <w:pPr>
        <w:rPr>
          <w:szCs w:val="22"/>
        </w:rPr>
      </w:pPr>
      <w:r w:rsidRPr="00AD3664">
        <w:rPr>
          <w:szCs w:val="22"/>
        </w:rPr>
        <w:t>For the purposes of this policy, ‘cost recovery’ broadly encompasses fees and charges related to the provision of government goods and services (including regulatory and information services) to the private and other non-government sectors of the economy.</w:t>
      </w:r>
    </w:p>
    <w:p w:rsidR="007C037F" w:rsidRPr="00AD3664" w:rsidRDefault="007C037F" w:rsidP="007C037F">
      <w:pPr>
        <w:rPr>
          <w:szCs w:val="22"/>
        </w:rPr>
      </w:pPr>
      <w:r w:rsidRPr="00AD3664">
        <w:rPr>
          <w:szCs w:val="22"/>
        </w:rPr>
        <w:t>This includes regulatory activities such as aquaculture leases and licences, commercial fishing licenses, food safety accreditation, animal health disease control programs and information services (including some scientific and technical services) provided from SARDI and Rural Solutions SA as detailed in Principles 3, 4, 5, 6 and 10 below.</w:t>
      </w:r>
    </w:p>
    <w:p w:rsidR="007C037F" w:rsidRPr="00AD3664" w:rsidRDefault="007C037F" w:rsidP="007C037F">
      <w:pPr>
        <w:rPr>
          <w:szCs w:val="22"/>
        </w:rPr>
      </w:pPr>
      <w:r w:rsidRPr="00AD3664">
        <w:rPr>
          <w:szCs w:val="22"/>
        </w:rPr>
        <w:t>Specifically excluded from cost recovery are PIRSA services required for public policy development, and advice to Ministers and the Government of South Australia.</w:t>
      </w:r>
    </w:p>
    <w:p w:rsidR="007C037F" w:rsidRPr="00AD3664" w:rsidRDefault="007C037F" w:rsidP="007C037F">
      <w:pPr>
        <w:spacing w:after="120"/>
        <w:rPr>
          <w:szCs w:val="22"/>
        </w:rPr>
      </w:pPr>
      <w:r w:rsidRPr="00AD3664">
        <w:rPr>
          <w:szCs w:val="22"/>
        </w:rPr>
        <w:t>Other arrangements excluded for the purposes of the policy include:</w:t>
      </w:r>
    </w:p>
    <w:p w:rsidR="007C037F" w:rsidRPr="00AD3664" w:rsidRDefault="007C037F" w:rsidP="00D5542D">
      <w:pPr>
        <w:numPr>
          <w:ilvl w:val="0"/>
          <w:numId w:val="22"/>
        </w:numPr>
        <w:spacing w:after="120"/>
        <w:ind w:left="357" w:hanging="357"/>
        <w:rPr>
          <w:szCs w:val="22"/>
        </w:rPr>
      </w:pPr>
      <w:r w:rsidRPr="00AD3664">
        <w:rPr>
          <w:szCs w:val="22"/>
        </w:rPr>
        <w:t>regulated fees and charges set using a prescribed rate of increase and which do not involve consultation or negotiation with industry as to the services that will be received by industry or individuals for the regulated fee</w:t>
      </w:r>
    </w:p>
    <w:p w:rsidR="007C037F" w:rsidRPr="00AD3664" w:rsidRDefault="007C037F" w:rsidP="00D5542D">
      <w:pPr>
        <w:numPr>
          <w:ilvl w:val="0"/>
          <w:numId w:val="22"/>
        </w:numPr>
        <w:spacing w:after="120"/>
        <w:ind w:left="357" w:hanging="357"/>
        <w:rPr>
          <w:szCs w:val="22"/>
        </w:rPr>
      </w:pPr>
      <w:r w:rsidRPr="00AD3664">
        <w:rPr>
          <w:szCs w:val="22"/>
        </w:rPr>
        <w:t>charging arrangements in competitive or potentially competitive markets that comply with competitive neutrality principles (e.g. commercial research)</w:t>
      </w:r>
    </w:p>
    <w:p w:rsidR="007C037F" w:rsidRPr="00AD3664" w:rsidRDefault="007C037F" w:rsidP="00D5542D">
      <w:pPr>
        <w:numPr>
          <w:ilvl w:val="0"/>
          <w:numId w:val="22"/>
        </w:numPr>
        <w:spacing w:after="120"/>
        <w:ind w:left="357" w:hanging="357"/>
        <w:rPr>
          <w:szCs w:val="22"/>
        </w:rPr>
      </w:pPr>
      <w:r w:rsidRPr="00AD3664">
        <w:rPr>
          <w:szCs w:val="22"/>
        </w:rPr>
        <w:t>resource rents</w:t>
      </w:r>
    </w:p>
    <w:p w:rsidR="007C037F" w:rsidRPr="00AD3664" w:rsidRDefault="007C037F" w:rsidP="00D5542D">
      <w:pPr>
        <w:numPr>
          <w:ilvl w:val="0"/>
          <w:numId w:val="22"/>
        </w:numPr>
        <w:spacing w:after="120"/>
        <w:ind w:left="357" w:hanging="357"/>
        <w:rPr>
          <w:szCs w:val="22"/>
        </w:rPr>
      </w:pPr>
      <w:r w:rsidRPr="00AD3664">
        <w:rPr>
          <w:szCs w:val="22"/>
        </w:rPr>
        <w:t>receipts from asset sales, rental of property and royalties, including the sale of rights to access resources</w:t>
      </w:r>
    </w:p>
    <w:p w:rsidR="007C037F" w:rsidRPr="00AD3664" w:rsidRDefault="007C037F" w:rsidP="00D5542D">
      <w:pPr>
        <w:numPr>
          <w:ilvl w:val="0"/>
          <w:numId w:val="22"/>
        </w:numPr>
        <w:spacing w:after="120"/>
        <w:ind w:left="357" w:hanging="357"/>
        <w:rPr>
          <w:szCs w:val="22"/>
        </w:rPr>
      </w:pPr>
      <w:r w:rsidRPr="00AD3664">
        <w:rPr>
          <w:szCs w:val="22"/>
        </w:rPr>
        <w:t>fines, pecuniary penalties and prosecution services</w:t>
      </w:r>
    </w:p>
    <w:p w:rsidR="007C037F" w:rsidRPr="00AD3664" w:rsidRDefault="007C037F" w:rsidP="00D5542D">
      <w:pPr>
        <w:numPr>
          <w:ilvl w:val="0"/>
          <w:numId w:val="22"/>
        </w:numPr>
        <w:spacing w:after="120"/>
        <w:ind w:left="357" w:hanging="357"/>
        <w:rPr>
          <w:szCs w:val="22"/>
        </w:rPr>
      </w:pPr>
      <w:r w:rsidRPr="00AD3664">
        <w:rPr>
          <w:szCs w:val="22"/>
        </w:rPr>
        <w:t>charges relating to non-Government of South Australia partnerships</w:t>
      </w:r>
    </w:p>
    <w:p w:rsidR="007C037F" w:rsidRPr="00AD3664" w:rsidRDefault="007C037F" w:rsidP="00D5542D">
      <w:pPr>
        <w:numPr>
          <w:ilvl w:val="0"/>
          <w:numId w:val="22"/>
        </w:numPr>
        <w:spacing w:after="120"/>
        <w:ind w:left="357" w:hanging="357"/>
        <w:rPr>
          <w:szCs w:val="22"/>
        </w:rPr>
      </w:pPr>
      <w:r w:rsidRPr="00AD3664">
        <w:rPr>
          <w:szCs w:val="22"/>
        </w:rPr>
        <w:t>statutory marketing levies</w:t>
      </w:r>
    </w:p>
    <w:p w:rsidR="007C037F" w:rsidRDefault="007C037F" w:rsidP="00D5542D">
      <w:pPr>
        <w:numPr>
          <w:ilvl w:val="0"/>
          <w:numId w:val="22"/>
        </w:numPr>
        <w:spacing w:after="120"/>
        <w:ind w:left="357" w:hanging="357"/>
        <w:rPr>
          <w:szCs w:val="22"/>
        </w:rPr>
      </w:pPr>
      <w:r w:rsidRPr="00AD3664">
        <w:rPr>
          <w:szCs w:val="22"/>
        </w:rPr>
        <w:t>grants</w:t>
      </w:r>
    </w:p>
    <w:p w:rsidR="00AD3664" w:rsidRPr="00AD3664" w:rsidRDefault="00AD3664" w:rsidP="00AD3664">
      <w:pPr>
        <w:spacing w:after="120"/>
        <w:ind w:left="357"/>
        <w:rPr>
          <w:szCs w:val="22"/>
        </w:rPr>
      </w:pPr>
    </w:p>
    <w:p w:rsidR="006D343D" w:rsidRDefault="000E3F1B" w:rsidP="00DE0E86">
      <w:pPr>
        <w:pStyle w:val="Heading1"/>
      </w:pPr>
      <w:bookmarkStart w:id="10" w:name="_Toc40709374"/>
      <w:bookmarkEnd w:id="5"/>
      <w:bookmarkEnd w:id="6"/>
      <w:bookmarkEnd w:id="7"/>
      <w:bookmarkEnd w:id="8"/>
      <w:bookmarkEnd w:id="9"/>
      <w:r w:rsidRPr="00343454">
        <w:t xml:space="preserve">Policy </w:t>
      </w:r>
      <w:r w:rsidR="006D1046" w:rsidRPr="00343454">
        <w:t>Details</w:t>
      </w:r>
      <w:bookmarkEnd w:id="10"/>
    </w:p>
    <w:p w:rsidR="007C037F" w:rsidRPr="00AD3664" w:rsidRDefault="007C037F" w:rsidP="007C037F">
      <w:bookmarkStart w:id="11" w:name="_Toc327534949"/>
      <w:r w:rsidRPr="00AD3664">
        <w:t xml:space="preserve">This policy adopts principles outlined in the </w:t>
      </w:r>
      <w:hyperlink r:id="rId17" w:history="1">
        <w:r w:rsidRPr="00AD3664">
          <w:rPr>
            <w:color w:val="0000FF"/>
            <w:u w:val="single"/>
          </w:rPr>
          <w:t>Australian Government Department of Finance – Australia Government Cost Recovery Guidelines: Resource Management Guide No. 304</w:t>
        </w:r>
      </w:hyperlink>
      <w:r w:rsidRPr="00AD3664">
        <w:t xml:space="preserve"> (2005) and (July 2014 – Third Edition), and </w:t>
      </w:r>
      <w:hyperlink r:id="rId18" w:history="1">
        <w:r w:rsidRPr="00AD3664">
          <w:rPr>
            <w:color w:val="0000FF"/>
            <w:u w:val="single"/>
          </w:rPr>
          <w:t>Australian Productivity Commission – Cost Recovery by Government Agencies Inquiry Report</w:t>
        </w:r>
      </w:hyperlink>
      <w:r w:rsidRPr="00AD3664">
        <w:t xml:space="preserve"> (2001).</w:t>
      </w:r>
    </w:p>
    <w:p w:rsidR="007C037F" w:rsidRPr="00AD3664" w:rsidRDefault="007C037F" w:rsidP="007C037F">
      <w:r w:rsidRPr="00AD3664">
        <w:t>The following 11 principles should be read together and do not stand alone.  The 11 principles do not automatically affect existing policy, where for example cost sharing arrangements have been entered into - either with industry or government agencies.</w:t>
      </w:r>
    </w:p>
    <w:p w:rsidR="00AD3664" w:rsidRDefault="00AD3664" w:rsidP="007C037F">
      <w:pPr>
        <w:rPr>
          <w:b/>
        </w:rPr>
      </w:pPr>
      <w:bookmarkStart w:id="12" w:name="_Toc514741804"/>
    </w:p>
    <w:p w:rsidR="00AD3664" w:rsidRDefault="00AD3664" w:rsidP="007C037F">
      <w:pPr>
        <w:rPr>
          <w:b/>
        </w:rPr>
      </w:pPr>
    </w:p>
    <w:p w:rsidR="007C037F" w:rsidRPr="00AD3664" w:rsidRDefault="007C037F" w:rsidP="007C037F">
      <w:pPr>
        <w:rPr>
          <w:b/>
        </w:rPr>
      </w:pPr>
      <w:r w:rsidRPr="00AD3664">
        <w:rPr>
          <w:b/>
        </w:rPr>
        <w:t>Principle 1 – When to apply cost recovery</w:t>
      </w:r>
      <w:bookmarkEnd w:id="12"/>
      <w:r w:rsidRPr="00AD3664">
        <w:rPr>
          <w:b/>
        </w:rPr>
        <w:t xml:space="preserve"> </w:t>
      </w:r>
    </w:p>
    <w:p w:rsidR="007C037F" w:rsidRPr="00AD3664" w:rsidRDefault="007C037F" w:rsidP="007C037F">
      <w:r w:rsidRPr="00AD3664">
        <w:t>Consistent with the Australian Government Cost Recovery Guidelines (July 2014), there should be alignment between the expenses of the activity (the costs involved in providing it) and the revenue (the income generated through charges for it). PIRSA Divisions should set charges to recover all the costs of products or services where it is efficient to do so, with partial cost recovery to apply only where new arrangements are phased in, where there are government endorsed community service obligations or for explicit government policy purposes.</w:t>
      </w:r>
    </w:p>
    <w:p w:rsidR="007C037F" w:rsidRPr="00AD3664" w:rsidRDefault="007C037F" w:rsidP="007C037F">
      <w:pPr>
        <w:pBdr>
          <w:top w:val="single" w:sz="4" w:space="1" w:color="auto"/>
          <w:left w:val="single" w:sz="4" w:space="4" w:color="auto"/>
          <w:bottom w:val="single" w:sz="4" w:space="1" w:color="auto"/>
          <w:right w:val="single" w:sz="4" w:space="4" w:color="auto"/>
        </w:pBdr>
        <w:rPr>
          <w:i/>
          <w:szCs w:val="22"/>
          <w:lang w:eastAsia="en-AU"/>
        </w:rPr>
      </w:pPr>
      <w:r w:rsidRPr="00AD3664">
        <w:rPr>
          <w:i/>
          <w:szCs w:val="22"/>
          <w:lang w:eastAsia="en-AU"/>
        </w:rPr>
        <w:t>Appropriate cost recovery can contribute to resources across the economy being applied in their most productive use and so contributing to broader community wellbeing through: instilling cost consciousness among PIRSA and users of PIRSA services; and ensuring those who use regulated products or request additional information bear the costs.</w:t>
      </w:r>
    </w:p>
    <w:p w:rsidR="007C037F" w:rsidRPr="00AD3664" w:rsidRDefault="007C037F" w:rsidP="007C037F">
      <w:pPr>
        <w:pBdr>
          <w:top w:val="single" w:sz="4" w:space="1" w:color="auto"/>
          <w:left w:val="single" w:sz="4" w:space="4" w:color="auto"/>
          <w:bottom w:val="single" w:sz="4" w:space="1" w:color="auto"/>
          <w:right w:val="single" w:sz="4" w:space="4" w:color="auto"/>
        </w:pBdr>
        <w:rPr>
          <w:i/>
          <w:szCs w:val="22"/>
        </w:rPr>
      </w:pPr>
      <w:r w:rsidRPr="00AD3664">
        <w:rPr>
          <w:i/>
          <w:szCs w:val="22"/>
        </w:rPr>
        <w:t xml:space="preserve">PIRSA’s services to industry are not free and will be recovered where there are clear beneficiaries. Where individuals or enterprises are being serviced, this should occur on a fee for service basis. </w:t>
      </w:r>
    </w:p>
    <w:p w:rsidR="007C037F" w:rsidRPr="00AD3664" w:rsidRDefault="007C037F" w:rsidP="007C037F">
      <w:pPr>
        <w:pBdr>
          <w:top w:val="single" w:sz="4" w:space="1" w:color="auto"/>
          <w:left w:val="single" w:sz="4" w:space="4" w:color="auto"/>
          <w:bottom w:val="single" w:sz="4" w:space="1" w:color="auto"/>
          <w:right w:val="single" w:sz="4" w:space="4" w:color="auto"/>
        </w:pBdr>
        <w:rPr>
          <w:i/>
          <w:szCs w:val="22"/>
        </w:rPr>
      </w:pPr>
      <w:r w:rsidRPr="00AD3664">
        <w:rPr>
          <w:i/>
          <w:szCs w:val="22"/>
        </w:rPr>
        <w:t xml:space="preserve">As a general principle, full cost recovery should be the aim; however when providing information services there may be circumstances where only avoidable costs or marginal costs are recovered. </w:t>
      </w:r>
    </w:p>
    <w:p w:rsidR="007C037F" w:rsidRPr="00AD3664" w:rsidRDefault="007C037F" w:rsidP="007C037F">
      <w:pPr>
        <w:pBdr>
          <w:top w:val="single" w:sz="4" w:space="1" w:color="auto"/>
          <w:left w:val="single" w:sz="4" w:space="4" w:color="auto"/>
          <w:bottom w:val="single" w:sz="4" w:space="1" w:color="auto"/>
          <w:right w:val="single" w:sz="4" w:space="4" w:color="auto"/>
        </w:pBdr>
        <w:spacing w:after="120"/>
        <w:rPr>
          <w:i/>
          <w:szCs w:val="22"/>
        </w:rPr>
      </w:pPr>
      <w:r w:rsidRPr="00AD3664">
        <w:rPr>
          <w:i/>
          <w:szCs w:val="22"/>
        </w:rPr>
        <w:t>When determining the full cost of providing a service, that cost should include:</w:t>
      </w:r>
    </w:p>
    <w:p w:rsidR="007C037F" w:rsidRPr="00AD3664" w:rsidRDefault="007C037F" w:rsidP="00D5542D">
      <w:pPr>
        <w:numPr>
          <w:ilvl w:val="0"/>
          <w:numId w:val="23"/>
        </w:numPr>
        <w:pBdr>
          <w:top w:val="single" w:sz="4" w:space="1" w:color="auto"/>
          <w:left w:val="single" w:sz="4" w:space="4" w:color="auto"/>
          <w:bottom w:val="single" w:sz="4" w:space="1" w:color="auto"/>
          <w:right w:val="single" w:sz="4" w:space="4" w:color="auto"/>
        </w:pBdr>
        <w:spacing w:after="120"/>
        <w:rPr>
          <w:i/>
          <w:szCs w:val="22"/>
        </w:rPr>
      </w:pPr>
      <w:r w:rsidRPr="00AD3664">
        <w:rPr>
          <w:i/>
          <w:szCs w:val="22"/>
        </w:rPr>
        <w:t>all direct costs such as labour, goods and services</w:t>
      </w:r>
    </w:p>
    <w:p w:rsidR="007C037F" w:rsidRPr="00AD3664" w:rsidRDefault="007C037F" w:rsidP="00D5542D">
      <w:pPr>
        <w:numPr>
          <w:ilvl w:val="0"/>
          <w:numId w:val="23"/>
        </w:numPr>
        <w:pBdr>
          <w:top w:val="single" w:sz="4" w:space="1" w:color="auto"/>
          <w:left w:val="single" w:sz="4" w:space="4" w:color="auto"/>
          <w:bottom w:val="single" w:sz="4" w:space="1" w:color="auto"/>
          <w:right w:val="single" w:sz="4" w:space="4" w:color="auto"/>
        </w:pBdr>
        <w:spacing w:after="120"/>
        <w:rPr>
          <w:i/>
          <w:szCs w:val="22"/>
        </w:rPr>
      </w:pPr>
      <w:r w:rsidRPr="00AD3664">
        <w:rPr>
          <w:i/>
          <w:szCs w:val="22"/>
        </w:rPr>
        <w:t>indirect costs (corporate and other overheads), including corporate services, divisional management and support, insurance, information technology and administration services and premises</w:t>
      </w:r>
    </w:p>
    <w:p w:rsidR="007C037F" w:rsidRPr="00AD3664" w:rsidRDefault="007C037F" w:rsidP="00D5542D">
      <w:pPr>
        <w:numPr>
          <w:ilvl w:val="0"/>
          <w:numId w:val="23"/>
        </w:numPr>
        <w:pBdr>
          <w:top w:val="single" w:sz="4" w:space="1" w:color="auto"/>
          <w:left w:val="single" w:sz="4" w:space="4" w:color="auto"/>
          <w:bottom w:val="single" w:sz="4" w:space="1" w:color="auto"/>
          <w:right w:val="single" w:sz="4" w:space="4" w:color="auto"/>
        </w:pBdr>
        <w:spacing w:after="120"/>
        <w:rPr>
          <w:i/>
          <w:szCs w:val="22"/>
        </w:rPr>
      </w:pPr>
      <w:r w:rsidRPr="00AD3664">
        <w:rPr>
          <w:i/>
          <w:szCs w:val="22"/>
        </w:rPr>
        <w:t>equipment and other infrastructure use based on the depreciation of assets, and</w:t>
      </w:r>
    </w:p>
    <w:p w:rsidR="007C037F" w:rsidRPr="00AD3664" w:rsidRDefault="007C037F" w:rsidP="00D5542D">
      <w:pPr>
        <w:numPr>
          <w:ilvl w:val="0"/>
          <w:numId w:val="27"/>
        </w:numPr>
        <w:pBdr>
          <w:top w:val="single" w:sz="4" w:space="1" w:color="auto"/>
          <w:left w:val="single" w:sz="4" w:space="4" w:color="auto"/>
          <w:bottom w:val="single" w:sz="4" w:space="1" w:color="auto"/>
          <w:right w:val="single" w:sz="4" w:space="4" w:color="auto"/>
        </w:pBdr>
        <w:rPr>
          <w:i/>
          <w:szCs w:val="22"/>
        </w:rPr>
      </w:pPr>
      <w:r w:rsidRPr="00AD3664">
        <w:rPr>
          <w:i/>
          <w:szCs w:val="22"/>
        </w:rPr>
        <w:t>borrowing or financing costs of capital.</w:t>
      </w:r>
    </w:p>
    <w:p w:rsidR="007C037F" w:rsidRPr="00AD3664" w:rsidRDefault="007C037F" w:rsidP="007C037F">
      <w:pPr>
        <w:pBdr>
          <w:top w:val="single" w:sz="4" w:space="1" w:color="auto"/>
          <w:left w:val="single" w:sz="4" w:space="4" w:color="auto"/>
          <w:bottom w:val="single" w:sz="4" w:space="1" w:color="auto"/>
          <w:right w:val="single" w:sz="4" w:space="4" w:color="auto"/>
        </w:pBdr>
        <w:rPr>
          <w:i/>
          <w:szCs w:val="22"/>
        </w:rPr>
      </w:pPr>
      <w:r w:rsidRPr="00AD3664">
        <w:rPr>
          <w:i/>
          <w:szCs w:val="22"/>
        </w:rPr>
        <w:t>Charges should be based on efficient costs where appropriate. This may require benchmarking against similar activities undertaken by government, both domestically and overseas – particularly where charges are high, generate significant amounts of revenue, or impose significant costs on regulated businesses.</w:t>
      </w:r>
    </w:p>
    <w:p w:rsidR="007C037F" w:rsidRPr="00AD3664" w:rsidRDefault="007C037F" w:rsidP="007C037F">
      <w:pPr>
        <w:pBdr>
          <w:top w:val="single" w:sz="4" w:space="1" w:color="auto"/>
          <w:left w:val="single" w:sz="4" w:space="4" w:color="auto"/>
          <w:bottom w:val="single" w:sz="4" w:space="1" w:color="auto"/>
          <w:right w:val="single" w:sz="4" w:space="4" w:color="auto"/>
        </w:pBdr>
        <w:rPr>
          <w:i/>
          <w:szCs w:val="22"/>
        </w:rPr>
      </w:pPr>
      <w:r w:rsidRPr="00AD3664">
        <w:rPr>
          <w:i/>
          <w:szCs w:val="22"/>
        </w:rPr>
        <w:t>Costing methods should seek to avoid volatility in charging – consideration should be given to smoothing fluctuating cost items (including transitional costs).</w:t>
      </w:r>
    </w:p>
    <w:p w:rsidR="007C037F" w:rsidRPr="00AD3664" w:rsidRDefault="007C037F" w:rsidP="007C037F">
      <w:pPr>
        <w:pBdr>
          <w:top w:val="single" w:sz="4" w:space="1" w:color="auto"/>
          <w:left w:val="single" w:sz="4" w:space="4" w:color="auto"/>
          <w:bottom w:val="single" w:sz="4" w:space="1" w:color="auto"/>
          <w:right w:val="single" w:sz="4" w:space="4" w:color="auto"/>
        </w:pBdr>
        <w:rPr>
          <w:i/>
        </w:rPr>
      </w:pPr>
      <w:r w:rsidRPr="00AD3664">
        <w:rPr>
          <w:i/>
          <w:szCs w:val="22"/>
        </w:rPr>
        <w:t xml:space="preserve">Cross-subsidies should be avoided when structuring charges, unless there is an explicit decision of the government to cross subsidise – for example, in order to </w:t>
      </w:r>
      <w:r w:rsidRPr="00AD3664">
        <w:rPr>
          <w:i/>
        </w:rPr>
        <w:t xml:space="preserve">pursue equity or social policy objectives. </w:t>
      </w:r>
    </w:p>
    <w:p w:rsidR="007C037F" w:rsidRPr="00AD3664" w:rsidRDefault="007C037F" w:rsidP="007C037F">
      <w:pPr>
        <w:keepNext/>
        <w:keepLines/>
        <w:tabs>
          <w:tab w:val="left" w:pos="851"/>
        </w:tabs>
        <w:spacing w:before="480" w:after="240"/>
        <w:outlineLvl w:val="2"/>
        <w:rPr>
          <w:b/>
        </w:rPr>
      </w:pPr>
      <w:bookmarkStart w:id="13" w:name="_Toc514741805"/>
      <w:r w:rsidRPr="00AD3664">
        <w:rPr>
          <w:b/>
        </w:rPr>
        <w:t>Principle 2 – When cost recovery is not appropriate</w:t>
      </w:r>
      <w:bookmarkEnd w:id="13"/>
    </w:p>
    <w:p w:rsidR="007C037F" w:rsidRPr="00AD3664" w:rsidRDefault="007C037F" w:rsidP="007C037F">
      <w:pPr>
        <w:widowControl w:val="0"/>
        <w:autoSpaceDE w:val="0"/>
        <w:autoSpaceDN w:val="0"/>
        <w:adjustRightInd w:val="0"/>
      </w:pPr>
      <w:r w:rsidRPr="00AD3664">
        <w:t xml:space="preserve">Cost recovery should not be applied where it is not cost effective, where it is inconsistent with government policy objectives, or where it would unduly stifle competition or industry innovation. </w:t>
      </w:r>
    </w:p>
    <w:p w:rsidR="007C037F" w:rsidRPr="00AD3664" w:rsidRDefault="007C037F" w:rsidP="007C037F">
      <w:pPr>
        <w:pBdr>
          <w:top w:val="single" w:sz="4" w:space="1" w:color="auto"/>
          <w:left w:val="single" w:sz="4" w:space="4" w:color="auto"/>
          <w:right w:val="single" w:sz="4" w:space="4" w:color="auto"/>
        </w:pBdr>
        <w:rPr>
          <w:i/>
          <w:lang w:val="en-US"/>
        </w:rPr>
      </w:pPr>
      <w:r w:rsidRPr="00AD3664">
        <w:rPr>
          <w:i/>
          <w:lang w:val="en-US"/>
        </w:rPr>
        <w:t>If the cost of administering a licence, permit or service fee is high when compared to revenue collected, cost recovery should not be pursued or alternatively, industry levies may be implemented.</w:t>
      </w:r>
    </w:p>
    <w:p w:rsidR="007C037F" w:rsidRPr="00AD3664" w:rsidRDefault="007C037F" w:rsidP="007C037F">
      <w:pPr>
        <w:pBdr>
          <w:top w:val="single" w:sz="4" w:space="1" w:color="auto"/>
          <w:left w:val="single" w:sz="4" w:space="4" w:color="auto"/>
          <w:right w:val="single" w:sz="4" w:space="4" w:color="auto"/>
        </w:pBdr>
        <w:rPr>
          <w:i/>
          <w:lang w:val="en-US"/>
        </w:rPr>
      </w:pPr>
      <w:r w:rsidRPr="00AD3664">
        <w:rPr>
          <w:i/>
          <w:lang w:val="en-US"/>
        </w:rPr>
        <w:t>Trivial amounts may not be cost effective to charge for, if the cost of collection exceeds the chargeable amount for the service.</w:t>
      </w:r>
    </w:p>
    <w:p w:rsidR="007C037F" w:rsidRPr="00AD3664" w:rsidRDefault="007C037F" w:rsidP="007C037F">
      <w:pPr>
        <w:pBdr>
          <w:top w:val="single" w:sz="4" w:space="1" w:color="auto"/>
          <w:left w:val="single" w:sz="4" w:space="4" w:color="auto"/>
          <w:right w:val="single" w:sz="4" w:space="4" w:color="auto"/>
        </w:pBdr>
        <w:spacing w:after="120"/>
        <w:rPr>
          <w:i/>
          <w:lang w:val="en-US"/>
        </w:rPr>
      </w:pPr>
      <w:r w:rsidRPr="00AD3664">
        <w:rPr>
          <w:i/>
          <w:lang w:val="en-US"/>
        </w:rPr>
        <w:t>There are a number of instances where the principle of full cost recovery may not be appropriate and hence the price may not reflect full cost recovery where:</w:t>
      </w:r>
    </w:p>
    <w:p w:rsidR="007C037F" w:rsidRPr="00AD3664" w:rsidRDefault="007C037F" w:rsidP="00D5542D">
      <w:pPr>
        <w:numPr>
          <w:ilvl w:val="0"/>
          <w:numId w:val="25"/>
        </w:numPr>
        <w:pBdr>
          <w:top w:val="single" w:sz="4" w:space="1" w:color="auto"/>
          <w:left w:val="single" w:sz="4" w:space="4" w:color="auto"/>
          <w:right w:val="single" w:sz="4" w:space="4" w:color="auto"/>
        </w:pBdr>
        <w:spacing w:after="120"/>
        <w:rPr>
          <w:i/>
          <w:lang w:val="en-US"/>
        </w:rPr>
      </w:pPr>
      <w:r w:rsidRPr="00AD3664">
        <w:rPr>
          <w:i/>
          <w:lang w:val="en-US"/>
        </w:rPr>
        <w:t>users cannot be readily identified (as is often the case with ‘public goods’ such as environmental services), however, there may be good reasons to apply the full cost of regulation to a group of users in these cases</w:t>
      </w:r>
    </w:p>
    <w:p w:rsidR="007C037F" w:rsidRPr="00AD3664" w:rsidRDefault="007C037F" w:rsidP="00D5542D">
      <w:pPr>
        <w:numPr>
          <w:ilvl w:val="0"/>
          <w:numId w:val="17"/>
        </w:numPr>
        <w:pBdr>
          <w:top w:val="single" w:sz="4" w:space="1" w:color="auto"/>
          <w:left w:val="single" w:sz="4" w:space="4" w:color="auto"/>
          <w:right w:val="single" w:sz="4" w:space="4" w:color="auto"/>
        </w:pBdr>
        <w:spacing w:after="120"/>
        <w:rPr>
          <w:i/>
          <w:lang w:val="en-US"/>
        </w:rPr>
      </w:pPr>
      <w:r w:rsidRPr="00AD3664">
        <w:rPr>
          <w:i/>
          <w:lang w:val="en-US"/>
        </w:rPr>
        <w:t>financially disadvantaged groups have no capacity to pay (equity considerations)</w:t>
      </w:r>
    </w:p>
    <w:p w:rsidR="007C037F" w:rsidRPr="00AD3664" w:rsidRDefault="007C037F" w:rsidP="00D5542D">
      <w:pPr>
        <w:numPr>
          <w:ilvl w:val="0"/>
          <w:numId w:val="17"/>
        </w:numPr>
        <w:pBdr>
          <w:top w:val="single" w:sz="4" w:space="1" w:color="auto"/>
          <w:left w:val="single" w:sz="4" w:space="4" w:color="auto"/>
          <w:right w:val="single" w:sz="4" w:space="4" w:color="auto"/>
        </w:pBdr>
        <w:spacing w:after="120"/>
        <w:rPr>
          <w:i/>
          <w:lang w:val="en-US"/>
        </w:rPr>
      </w:pPr>
      <w:r w:rsidRPr="00AD3664">
        <w:rPr>
          <w:i/>
          <w:lang w:val="en-US"/>
        </w:rPr>
        <w:t>Commonwealth expenditures are involved</w:t>
      </w:r>
    </w:p>
    <w:p w:rsidR="007C037F" w:rsidRPr="00AD3664" w:rsidRDefault="007C037F" w:rsidP="00D5542D">
      <w:pPr>
        <w:numPr>
          <w:ilvl w:val="0"/>
          <w:numId w:val="17"/>
        </w:numPr>
        <w:pBdr>
          <w:top w:val="single" w:sz="4" w:space="1" w:color="auto"/>
          <w:left w:val="single" w:sz="4" w:space="4" w:color="auto"/>
          <w:right w:val="single" w:sz="4" w:space="4" w:color="auto"/>
        </w:pBdr>
        <w:spacing w:after="120"/>
        <w:rPr>
          <w:i/>
          <w:lang w:val="en-US"/>
        </w:rPr>
      </w:pPr>
      <w:r w:rsidRPr="00AD3664">
        <w:rPr>
          <w:i/>
          <w:lang w:val="en-US"/>
        </w:rPr>
        <w:t>legislation specifically prevents charging for the good or service, or</w:t>
      </w:r>
    </w:p>
    <w:p w:rsidR="007C037F" w:rsidRPr="00AD3664" w:rsidRDefault="007C037F" w:rsidP="00D5542D">
      <w:pPr>
        <w:numPr>
          <w:ilvl w:val="0"/>
          <w:numId w:val="17"/>
        </w:numPr>
        <w:pBdr>
          <w:left w:val="single" w:sz="4" w:space="1" w:color="auto"/>
          <w:bottom w:val="single" w:sz="4" w:space="1" w:color="auto"/>
          <w:right w:val="single" w:sz="4" w:space="1" w:color="auto"/>
        </w:pBdr>
        <w:spacing w:after="120"/>
        <w:rPr>
          <w:i/>
          <w:lang w:val="en-US"/>
        </w:rPr>
      </w:pPr>
      <w:r w:rsidRPr="00AD3664">
        <w:rPr>
          <w:i/>
          <w:lang w:val="en-US"/>
        </w:rPr>
        <w:t>government policy stipulates against, or is inconsistent with, the recovery of full costs (e.g. pricing regimes reflected in corporate or policy charters, recreational fishing, specified industry development programs).</w:t>
      </w:r>
    </w:p>
    <w:p w:rsidR="007C037F" w:rsidRPr="00AD3664" w:rsidRDefault="007C037F" w:rsidP="007C037F">
      <w:pPr>
        <w:pBdr>
          <w:left w:val="single" w:sz="4" w:space="1" w:color="auto"/>
          <w:bottom w:val="single" w:sz="4" w:space="1" w:color="auto"/>
          <w:right w:val="single" w:sz="4" w:space="1" w:color="auto"/>
        </w:pBdr>
      </w:pPr>
      <w:r w:rsidRPr="00AD3664">
        <w:rPr>
          <w:i/>
          <w:lang w:val="en-US"/>
        </w:rPr>
        <w:t>Cost recovery of regulatory or information services may affect firm decisions on market entry or on the nature of products to be produced. Potentially undesirable impacts associated with cost recovery on reduced competition or on innovation such as through reduced product offerings will be considered in assessing the case for cost recovery.</w:t>
      </w:r>
    </w:p>
    <w:p w:rsidR="007C037F" w:rsidRPr="00AD3664" w:rsidRDefault="007C037F" w:rsidP="007C037F">
      <w:pPr>
        <w:tabs>
          <w:tab w:val="left" w:pos="851"/>
        </w:tabs>
        <w:spacing w:after="120"/>
        <w:outlineLvl w:val="2"/>
        <w:rPr>
          <w:b/>
        </w:rPr>
      </w:pPr>
      <w:bookmarkStart w:id="14" w:name="_Toc514741806"/>
      <w:r w:rsidRPr="00AD3664">
        <w:rPr>
          <w:b/>
        </w:rPr>
        <w:t>Principle 3 – Cost reflective pricing</w:t>
      </w:r>
      <w:bookmarkEnd w:id="14"/>
    </w:p>
    <w:p w:rsidR="007C037F" w:rsidRPr="00AD3664" w:rsidRDefault="007C037F" w:rsidP="007C037F">
      <w:pPr>
        <w:autoSpaceDE w:val="0"/>
        <w:autoSpaceDN w:val="0"/>
        <w:adjustRightInd w:val="0"/>
        <w:spacing w:after="120"/>
        <w:rPr>
          <w:lang w:val="en-US"/>
        </w:rPr>
      </w:pPr>
      <w:r w:rsidRPr="00AD3664">
        <w:t>Consistent with the Australian Government Cost Recovery Guidelines (July 2014), there should be alignment between the expenses of the activity (the costs involved in providing it) and the revenue (the income generated through charges for it). Cost recovery charges should be:</w:t>
      </w:r>
    </w:p>
    <w:p w:rsidR="007C037F" w:rsidRPr="00AD3664" w:rsidRDefault="007C037F" w:rsidP="002C1B00">
      <w:pPr>
        <w:pStyle w:val="BulletList1"/>
        <w:rPr>
          <w:lang w:eastAsia="en-AU"/>
        </w:rPr>
      </w:pPr>
      <w:r w:rsidRPr="00AD3664">
        <w:rPr>
          <w:lang w:eastAsia="en-AU"/>
        </w:rPr>
        <w:t>clear and easy to understand</w:t>
      </w:r>
    </w:p>
    <w:p w:rsidR="007C037F" w:rsidRPr="00AD3664" w:rsidRDefault="007C037F" w:rsidP="002C1B00">
      <w:pPr>
        <w:pStyle w:val="BulletList1"/>
        <w:rPr>
          <w:lang w:eastAsia="en-AU"/>
        </w:rPr>
      </w:pPr>
      <w:r w:rsidRPr="00AD3664">
        <w:rPr>
          <w:lang w:eastAsia="en-AU"/>
        </w:rPr>
        <w:t>closely linked to the specific activity</w:t>
      </w:r>
    </w:p>
    <w:p w:rsidR="007C037F" w:rsidRPr="00AD3664" w:rsidRDefault="007C037F" w:rsidP="002C1B00">
      <w:pPr>
        <w:pStyle w:val="BulletList1"/>
        <w:rPr>
          <w:lang w:eastAsia="en-AU"/>
        </w:rPr>
      </w:pPr>
      <w:r w:rsidRPr="00AD3664">
        <w:rPr>
          <w:lang w:eastAsia="en-AU"/>
        </w:rPr>
        <w:t>set to recover the full efficient costs of the specific activity</w:t>
      </w:r>
    </w:p>
    <w:p w:rsidR="007C037F" w:rsidRPr="00AD3664" w:rsidRDefault="007C037F" w:rsidP="002C1B00">
      <w:pPr>
        <w:pStyle w:val="BulletList1"/>
        <w:rPr>
          <w:lang w:eastAsia="en-AU"/>
        </w:rPr>
      </w:pPr>
      <w:r w:rsidRPr="00AD3664">
        <w:rPr>
          <w:lang w:eastAsia="en-AU"/>
        </w:rPr>
        <w:t>efficient to determine, collect and enforce</w:t>
      </w:r>
    </w:p>
    <w:p w:rsidR="007C037F" w:rsidRPr="00AD3664" w:rsidRDefault="007C037F" w:rsidP="002C1B00">
      <w:pPr>
        <w:pStyle w:val="BulletList1"/>
        <w:rPr>
          <w:lang w:eastAsia="en-AU"/>
        </w:rPr>
      </w:pPr>
      <w:r w:rsidRPr="00AD3664">
        <w:rPr>
          <w:lang w:eastAsia="en-AU"/>
        </w:rPr>
        <w:t>set to avoid volatility, while still being flexible enough to allow for changes based on fluctuations in demand or costs.</w:t>
      </w:r>
    </w:p>
    <w:p w:rsidR="007C037F" w:rsidRPr="00AD3664" w:rsidRDefault="007C037F" w:rsidP="007C037F">
      <w:pPr>
        <w:autoSpaceDE w:val="0"/>
        <w:autoSpaceDN w:val="0"/>
        <w:adjustRightInd w:val="0"/>
        <w:spacing w:after="120"/>
      </w:pPr>
      <w:r w:rsidRPr="00AD3664">
        <w:t xml:space="preserve">Expenses and revenue are to be aligned on an annual basis, however, where justified, they can be aligned over a longer period. </w:t>
      </w:r>
    </w:p>
    <w:p w:rsidR="007C037F" w:rsidRPr="00AD3664" w:rsidRDefault="007C037F" w:rsidP="007C037F">
      <w:pPr>
        <w:autoSpaceDE w:val="0"/>
        <w:autoSpaceDN w:val="0"/>
        <w:adjustRightInd w:val="0"/>
        <w:spacing w:after="120"/>
      </w:pPr>
      <w:r w:rsidRPr="00AD3664">
        <w:t>Any charges should reflect the costs of providing the product or service and should generally be imposed on a fee-for-service basis or, where efficient, as a levy.</w:t>
      </w:r>
    </w:p>
    <w:p w:rsidR="007C037F" w:rsidRPr="00AD3664" w:rsidRDefault="007C037F" w:rsidP="007C037F">
      <w:pPr>
        <w:pBdr>
          <w:top w:val="single" w:sz="4" w:space="1" w:color="auto"/>
          <w:left w:val="single" w:sz="4" w:space="4" w:color="auto"/>
          <w:bottom w:val="single" w:sz="4" w:space="1" w:color="auto"/>
          <w:right w:val="single" w:sz="4" w:space="4" w:color="auto"/>
        </w:pBdr>
        <w:rPr>
          <w:i/>
        </w:rPr>
      </w:pPr>
      <w:r w:rsidRPr="00AD3664">
        <w:rPr>
          <w:i/>
        </w:rPr>
        <w:t xml:space="preserve">Cost reflective pricing should be used for cost recovery programs.  </w:t>
      </w:r>
    </w:p>
    <w:p w:rsidR="007C037F" w:rsidRPr="00AD3664" w:rsidRDefault="007C037F" w:rsidP="007C037F">
      <w:pPr>
        <w:pBdr>
          <w:top w:val="single" w:sz="4" w:space="1" w:color="auto"/>
          <w:left w:val="single" w:sz="4" w:space="4" w:color="auto"/>
          <w:bottom w:val="single" w:sz="4" w:space="1" w:color="auto"/>
          <w:right w:val="single" w:sz="4" w:space="4" w:color="auto"/>
        </w:pBdr>
        <w:rPr>
          <w:i/>
        </w:rPr>
      </w:pPr>
      <w:r w:rsidRPr="00AD3664">
        <w:rPr>
          <w:i/>
        </w:rPr>
        <w:t>A fee charges individual firms or consumers for particular activities, while a levy is imposed across a group of firms or consumers.</w:t>
      </w:r>
    </w:p>
    <w:p w:rsidR="007C037F" w:rsidRPr="00AD3664" w:rsidRDefault="007C037F" w:rsidP="007C037F">
      <w:pPr>
        <w:pBdr>
          <w:top w:val="single" w:sz="4" w:space="1" w:color="auto"/>
          <w:left w:val="single" w:sz="4" w:space="4" w:color="auto"/>
          <w:bottom w:val="single" w:sz="4" w:space="1" w:color="auto"/>
          <w:right w:val="single" w:sz="4" w:space="4" w:color="auto"/>
        </w:pBdr>
        <w:rPr>
          <w:i/>
        </w:rPr>
      </w:pPr>
      <w:r w:rsidRPr="00AD3664">
        <w:rPr>
          <w:i/>
        </w:rPr>
        <w:t>For regulatory activities such as issuing exclusive rights and permits, or registration and approvals (where there is little potential for free riders) cost recovery through fees charged to those receiving these rights may be appropriate. However, where there is potential for significant free riding, or for activities such as monitoring ongoing compliance with regulations, a group based levy may be a more appropriate cost recovery mechanism.</w:t>
      </w:r>
    </w:p>
    <w:p w:rsidR="007C037F" w:rsidRPr="00AD3664" w:rsidRDefault="007C037F" w:rsidP="007C037F">
      <w:pPr>
        <w:pBdr>
          <w:top w:val="single" w:sz="4" w:space="1" w:color="auto"/>
          <w:left w:val="single" w:sz="4" w:space="4" w:color="auto"/>
          <w:bottom w:val="single" w:sz="4" w:space="8" w:color="auto"/>
          <w:right w:val="single" w:sz="4" w:space="4" w:color="auto"/>
        </w:pBdr>
        <w:rPr>
          <w:i/>
        </w:rPr>
      </w:pPr>
      <w:r w:rsidRPr="00AD3664">
        <w:rPr>
          <w:i/>
        </w:rPr>
        <w:t xml:space="preserve">For information services, fees may be appropriate for services that don’t have either public good or spillover benefits associated with them. However, where there are public good characteristics and the beneficiaries are a relatively narrow, identifiable group such as an industry or consumer group, a levy may be appropriate. </w:t>
      </w:r>
    </w:p>
    <w:p w:rsidR="007C037F" w:rsidRPr="00AD3664" w:rsidRDefault="007C037F" w:rsidP="007C037F">
      <w:pPr>
        <w:pBdr>
          <w:top w:val="single" w:sz="4" w:space="1" w:color="auto"/>
          <w:left w:val="single" w:sz="4" w:space="4" w:color="auto"/>
          <w:bottom w:val="single" w:sz="4" w:space="8" w:color="auto"/>
          <w:right w:val="single" w:sz="4" w:space="4" w:color="auto"/>
        </w:pBdr>
      </w:pPr>
      <w:r w:rsidRPr="00AD3664">
        <w:rPr>
          <w:i/>
        </w:rPr>
        <w:t xml:space="preserve">More detailed advice on the structure of charges – i.e. when to apply levies, fees or taxpayer funding- can be found in the </w:t>
      </w:r>
      <w:hyperlink r:id="rId19" w:history="1">
        <w:r w:rsidRPr="00AD3664">
          <w:rPr>
            <w:i/>
            <w:color w:val="0000FF"/>
            <w:u w:val="single"/>
          </w:rPr>
          <w:t>Australian Government Department of Finance – Australia Government Cost Recovery Guidelines: Resource Management Guide No. 304</w:t>
        </w:r>
      </w:hyperlink>
      <w:r w:rsidRPr="00AD3664">
        <w:rPr>
          <w:i/>
        </w:rPr>
        <w:t xml:space="preserve"> (2005) and (July 2014 – Third Edition), the Australian Government Charging Framework and </w:t>
      </w:r>
      <w:hyperlink r:id="rId20" w:history="1">
        <w:r w:rsidRPr="00AD3664">
          <w:rPr>
            <w:i/>
            <w:color w:val="0000FF"/>
            <w:u w:val="single"/>
          </w:rPr>
          <w:t>Australian Productivity Commission – Cost Recovery by Government Agencies Inquiry Report</w:t>
        </w:r>
      </w:hyperlink>
      <w:r w:rsidRPr="00AD3664">
        <w:t xml:space="preserve"> </w:t>
      </w:r>
      <w:r w:rsidRPr="00AD3664">
        <w:rPr>
          <w:i/>
        </w:rPr>
        <w:t>(2001).</w:t>
      </w:r>
    </w:p>
    <w:p w:rsidR="007C037F" w:rsidRPr="00AD3664" w:rsidRDefault="007C037F" w:rsidP="007C037F">
      <w:pPr>
        <w:keepNext/>
        <w:keepLines/>
        <w:tabs>
          <w:tab w:val="left" w:pos="851"/>
        </w:tabs>
        <w:spacing w:before="0" w:after="240"/>
        <w:outlineLvl w:val="2"/>
        <w:rPr>
          <w:b/>
        </w:rPr>
      </w:pPr>
      <w:bookmarkStart w:id="15" w:name="_Toc514741807"/>
      <w:r w:rsidRPr="00AD3664">
        <w:rPr>
          <w:b/>
        </w:rPr>
        <w:t>Principle 4 – Legal authority for cost recovery</w:t>
      </w:r>
      <w:bookmarkEnd w:id="15"/>
    </w:p>
    <w:p w:rsidR="007C037F" w:rsidRPr="00AD3664" w:rsidRDefault="007C037F" w:rsidP="007C037F">
      <w:pPr>
        <w:widowControl w:val="0"/>
        <w:autoSpaceDE w:val="0"/>
        <w:autoSpaceDN w:val="0"/>
        <w:adjustRightInd w:val="0"/>
        <w:spacing w:after="120"/>
      </w:pPr>
      <w:r w:rsidRPr="00AD3664">
        <w:t>PIRSA should ensure that all cost recovery arrangements have clear legal authority for the imposition of charges.</w:t>
      </w:r>
    </w:p>
    <w:p w:rsidR="007C037F" w:rsidRPr="00AD3664" w:rsidRDefault="007C037F" w:rsidP="007C037F">
      <w:pPr>
        <w:pBdr>
          <w:top w:val="single" w:sz="4" w:space="1" w:color="auto"/>
          <w:left w:val="single" w:sz="4" w:space="4" w:color="auto"/>
          <w:bottom w:val="single" w:sz="4" w:space="1" w:color="auto"/>
          <w:right w:val="single" w:sz="4" w:space="4" w:color="auto"/>
        </w:pBdr>
      </w:pPr>
      <w:r w:rsidRPr="00AD3664">
        <w:rPr>
          <w:i/>
        </w:rPr>
        <w:t xml:space="preserve">Regulated fees require subordinate legislation and/or requirements for fees directed through legislation. Unregulated fees require approval by an appropriate authority and information services will be subject to an agreement between the purchaser and PIRSA. </w:t>
      </w:r>
    </w:p>
    <w:p w:rsidR="007C037F" w:rsidRPr="00AD3664" w:rsidRDefault="007C037F" w:rsidP="007C037F">
      <w:pPr>
        <w:keepNext/>
        <w:keepLines/>
        <w:tabs>
          <w:tab w:val="left" w:pos="851"/>
        </w:tabs>
        <w:spacing w:before="0" w:after="240"/>
        <w:outlineLvl w:val="2"/>
        <w:rPr>
          <w:b/>
        </w:rPr>
      </w:pPr>
      <w:bookmarkStart w:id="16" w:name="_Toc514741808"/>
      <w:r w:rsidRPr="00AD3664">
        <w:rPr>
          <w:b/>
        </w:rPr>
        <w:t>Principle 5 – Costs related to provision of product or services</w:t>
      </w:r>
      <w:bookmarkEnd w:id="16"/>
    </w:p>
    <w:p w:rsidR="007C037F" w:rsidRPr="00AD3664" w:rsidRDefault="007C037F" w:rsidP="007C037F">
      <w:pPr>
        <w:widowControl w:val="0"/>
        <w:autoSpaceDE w:val="0"/>
        <w:autoSpaceDN w:val="0"/>
        <w:adjustRightInd w:val="0"/>
      </w:pPr>
      <w:r w:rsidRPr="00AD3664">
        <w:t>Costs that are not related or integral to the provision of products or services (e.g. some policy and parliamentary servicing functions) should not be recovered. Regulatory activities should generally include administration costs when determining appropriate charges.</w:t>
      </w:r>
    </w:p>
    <w:p w:rsidR="007C037F" w:rsidRPr="00AD3664" w:rsidRDefault="007C037F" w:rsidP="007C037F">
      <w:pPr>
        <w:pBdr>
          <w:top w:val="single" w:sz="4" w:space="1" w:color="auto"/>
          <w:left w:val="single" w:sz="4" w:space="4" w:color="auto"/>
          <w:bottom w:val="single" w:sz="4" w:space="1" w:color="auto"/>
          <w:right w:val="single" w:sz="4" w:space="4" w:color="auto"/>
        </w:pBdr>
        <w:rPr>
          <w:i/>
        </w:rPr>
      </w:pPr>
      <w:r w:rsidRPr="00AD3664">
        <w:rPr>
          <w:i/>
        </w:rPr>
        <w:t>The cost of services to government such as advice to Ministers and criminal prosecution costs or Freedom of Information costs should not be considered in cost recovery. These services to government include (but are not necessarily limited to) parliamentary briefs, cabinet submissions, ministerial briefings and fundamental development and review of government policies – including regulatory and information services. Whereas business services and records management costs should be included.</w:t>
      </w:r>
    </w:p>
    <w:p w:rsidR="007C037F" w:rsidRPr="00AD3664" w:rsidRDefault="007C037F" w:rsidP="007C037F">
      <w:pPr>
        <w:pBdr>
          <w:top w:val="single" w:sz="4" w:space="1" w:color="auto"/>
          <w:left w:val="single" w:sz="4" w:space="4" w:color="auto"/>
          <w:bottom w:val="single" w:sz="4" w:space="1" w:color="auto"/>
          <w:right w:val="single" w:sz="4" w:space="4" w:color="auto"/>
        </w:pBdr>
        <w:rPr>
          <w:i/>
        </w:rPr>
      </w:pPr>
      <w:r w:rsidRPr="00AD3664">
        <w:rPr>
          <w:i/>
        </w:rPr>
        <w:t>This principle should be read in conjunction with principle one, in that costs should only be recovered where it is efficient to do so. Overhead or corporate costs incidental to the provision of products or services can be considered, as long as they can reasonably be attributed to the provision of the product or service. However, costs too far removed from the activity should not be charged.</w:t>
      </w:r>
      <w:r w:rsidRPr="00AD3664">
        <w:rPr>
          <w:color w:val="252424"/>
          <w:lang w:eastAsia="en-AU"/>
        </w:rPr>
        <w:t xml:space="preserve"> </w:t>
      </w:r>
    </w:p>
    <w:p w:rsidR="007C037F" w:rsidRPr="00AD3664" w:rsidRDefault="007C037F" w:rsidP="007C037F">
      <w:pPr>
        <w:keepNext/>
        <w:keepLines/>
        <w:tabs>
          <w:tab w:val="left" w:pos="851"/>
        </w:tabs>
        <w:spacing w:before="0" w:after="240"/>
        <w:outlineLvl w:val="2"/>
        <w:rPr>
          <w:b/>
        </w:rPr>
      </w:pPr>
      <w:bookmarkStart w:id="17" w:name="_Toc514741809"/>
      <w:r w:rsidRPr="00AD3664">
        <w:rPr>
          <w:b/>
        </w:rPr>
        <w:t>Principle 6 – Cost recovery on activity basis</w:t>
      </w:r>
      <w:bookmarkEnd w:id="17"/>
    </w:p>
    <w:p w:rsidR="007C037F" w:rsidRPr="00AD3664" w:rsidRDefault="007C037F" w:rsidP="007C037F">
      <w:pPr>
        <w:widowControl w:val="0"/>
        <w:autoSpaceDE w:val="0"/>
        <w:autoSpaceDN w:val="0"/>
        <w:adjustRightInd w:val="0"/>
      </w:pPr>
      <w:r w:rsidRPr="00AD3664">
        <w:t xml:space="preserve">Where possible, cost recovery should be undertaken on an activity or activity group basis. Cost recovery targets on a PIRSA wide basis will not be pursued, consistent with the requirements enunciated in the </w:t>
      </w:r>
      <w:hyperlink r:id="rId21" w:history="1">
        <w:r w:rsidRPr="00AD3664">
          <w:rPr>
            <w:i/>
            <w:color w:val="0000FF"/>
            <w:u w:val="single"/>
            <w:lang w:val="en-US"/>
          </w:rPr>
          <w:t>Australian Government Department of Finance – Australia Government Cost Recovery Guidelines: Resource Management Guide No.304</w:t>
        </w:r>
      </w:hyperlink>
      <w:r w:rsidRPr="00AD3664">
        <w:rPr>
          <w:i/>
          <w:lang w:val="en-US"/>
        </w:rPr>
        <w:t xml:space="preserve"> (2005) and (July 2014 – Third Edition)</w:t>
      </w:r>
      <w:r w:rsidRPr="00AD3664">
        <w:t>.</w:t>
      </w:r>
    </w:p>
    <w:p w:rsidR="007C037F" w:rsidRPr="00AD3664" w:rsidRDefault="007C037F" w:rsidP="007C037F">
      <w:pPr>
        <w:pBdr>
          <w:top w:val="single" w:sz="4" w:space="1" w:color="auto"/>
          <w:left w:val="single" w:sz="4" w:space="4" w:color="auto"/>
          <w:bottom w:val="single" w:sz="4" w:space="1" w:color="auto"/>
          <w:right w:val="single" w:sz="4" w:space="4" w:color="auto"/>
        </w:pBdr>
        <w:rPr>
          <w:i/>
        </w:rPr>
      </w:pPr>
      <w:r w:rsidRPr="00AD3664">
        <w:rPr>
          <w:i/>
        </w:rPr>
        <w:t>Activity based costing or costing based on definable groups of activities should be used in developing costing models (e.g. individual biosecurity tasks outlined for a particular industry group could be bundled together when costing).</w:t>
      </w:r>
    </w:p>
    <w:p w:rsidR="007C037F" w:rsidRPr="00AD3664" w:rsidRDefault="007C037F" w:rsidP="007C037F">
      <w:pPr>
        <w:pBdr>
          <w:top w:val="single" w:sz="4" w:space="1" w:color="auto"/>
          <w:left w:val="single" w:sz="4" w:space="4" w:color="auto"/>
          <w:bottom w:val="single" w:sz="4" w:space="1" w:color="auto"/>
          <w:right w:val="single" w:sz="4" w:space="4" w:color="auto"/>
        </w:pBdr>
        <w:rPr>
          <w:i/>
          <w:iCs/>
          <w:lang w:eastAsia="en-AU"/>
        </w:rPr>
      </w:pPr>
      <w:r w:rsidRPr="00AD3664">
        <w:rPr>
          <w:i/>
        </w:rPr>
        <w:t>Activities with similar objectives or characteristics may be grouped for cost recovery purposes to lessen the administrative burden on PIRSA and stakeholders. For e</w:t>
      </w:r>
      <w:r w:rsidRPr="00AD3664">
        <w:rPr>
          <w:i/>
          <w:iCs/>
          <w:lang w:eastAsia="en-AU"/>
        </w:rPr>
        <w:t>xample, when determining fees the costs associated with the services provided such as research and compliance may be grouped to form the final fee for efficiency reasons.</w:t>
      </w:r>
    </w:p>
    <w:p w:rsidR="007C037F" w:rsidRPr="00AD3664" w:rsidRDefault="007C037F" w:rsidP="007C037F">
      <w:pPr>
        <w:keepNext/>
        <w:keepLines/>
        <w:tabs>
          <w:tab w:val="left" w:pos="851"/>
        </w:tabs>
        <w:spacing w:before="0" w:after="240"/>
        <w:outlineLvl w:val="2"/>
        <w:rPr>
          <w:b/>
        </w:rPr>
      </w:pPr>
      <w:bookmarkStart w:id="18" w:name="_Principle_7_–"/>
      <w:bookmarkStart w:id="19" w:name="_Toc514741810"/>
      <w:bookmarkEnd w:id="18"/>
      <w:r w:rsidRPr="00AD3664">
        <w:rPr>
          <w:b/>
        </w:rPr>
        <w:t>Principle 7 – Key elements of cost recovery</w:t>
      </w:r>
      <w:bookmarkEnd w:id="19"/>
    </w:p>
    <w:p w:rsidR="007C037F" w:rsidRPr="00AD3664" w:rsidRDefault="007C037F" w:rsidP="007C037F">
      <w:pPr>
        <w:spacing w:after="120"/>
      </w:pPr>
      <w:r w:rsidRPr="00AD3664">
        <w:t>Aligned with the Australian Government Cost Recovery Guidelines (July 2014), the PIRSA approach to cost recovery recognises the following key principles:</w:t>
      </w:r>
    </w:p>
    <w:p w:rsidR="007C037F" w:rsidRPr="00AD3664" w:rsidRDefault="007C037F" w:rsidP="00D5542D">
      <w:pPr>
        <w:numPr>
          <w:ilvl w:val="0"/>
          <w:numId w:val="28"/>
        </w:numPr>
        <w:spacing w:after="120"/>
      </w:pPr>
      <w:r w:rsidRPr="00AD3664">
        <w:t>efficiency and effectiveness</w:t>
      </w:r>
    </w:p>
    <w:p w:rsidR="007C037F" w:rsidRPr="00AD3664" w:rsidRDefault="007C037F" w:rsidP="00D5542D">
      <w:pPr>
        <w:numPr>
          <w:ilvl w:val="0"/>
          <w:numId w:val="28"/>
        </w:numPr>
        <w:spacing w:after="120"/>
      </w:pPr>
      <w:r w:rsidRPr="00AD3664">
        <w:t>transparency and accountability</w:t>
      </w:r>
    </w:p>
    <w:p w:rsidR="007C037F" w:rsidRPr="00AD3664" w:rsidRDefault="007C037F" w:rsidP="00D5542D">
      <w:pPr>
        <w:numPr>
          <w:ilvl w:val="0"/>
          <w:numId w:val="28"/>
        </w:numPr>
        <w:spacing w:after="120"/>
      </w:pPr>
      <w:r w:rsidRPr="00AD3664">
        <w:t>stakeholder engagement</w:t>
      </w:r>
    </w:p>
    <w:p w:rsidR="007C037F" w:rsidRPr="00AD3664" w:rsidRDefault="007C037F" w:rsidP="00D5542D">
      <w:pPr>
        <w:numPr>
          <w:ilvl w:val="0"/>
          <w:numId w:val="28"/>
        </w:numPr>
        <w:spacing w:after="120"/>
      </w:pPr>
      <w:r w:rsidRPr="00AD3664">
        <w:t>policy review (structured to include self-review, evaluation of outcomes and continuous improvement)</w:t>
      </w:r>
    </w:p>
    <w:p w:rsidR="007C037F" w:rsidRPr="00AD3664" w:rsidRDefault="007C037F" w:rsidP="007C037F">
      <w:pPr>
        <w:spacing w:after="120"/>
      </w:pPr>
      <w:r w:rsidRPr="00AD3664">
        <w:t>Each PIRSA Division is to implement the above principles as required. This includes the development of tailored stakeholder engagement process as required for each industry sector.</w:t>
      </w:r>
    </w:p>
    <w:p w:rsidR="007C037F" w:rsidRPr="00AD3664" w:rsidRDefault="007C037F" w:rsidP="007C037F">
      <w:pPr>
        <w:pBdr>
          <w:top w:val="single" w:sz="4" w:space="1" w:color="auto"/>
          <w:left w:val="single" w:sz="4" w:space="4" w:color="auto"/>
          <w:bottom w:val="single" w:sz="4" w:space="1" w:color="auto"/>
          <w:right w:val="single" w:sz="4" w:space="4" w:color="auto"/>
        </w:pBdr>
        <w:rPr>
          <w:i/>
        </w:rPr>
      </w:pPr>
      <w:r w:rsidRPr="00AD3664">
        <w:rPr>
          <w:i/>
        </w:rPr>
        <w:t xml:space="preserve">Integrating these stages provides a systematic process for the ongoing design and review of cost recovery </w:t>
      </w:r>
      <w:r w:rsidRPr="00114712">
        <w:rPr>
          <w:i/>
          <w:color w:val="000000" w:themeColor="text1"/>
        </w:rPr>
        <w:t xml:space="preserve">arrangements (see </w:t>
      </w:r>
      <w:r w:rsidR="00836796">
        <w:rPr>
          <w:i/>
          <w:color w:val="000000" w:themeColor="text1"/>
        </w:rPr>
        <w:t>‘</w:t>
      </w:r>
      <w:r w:rsidRPr="00114712">
        <w:rPr>
          <w:i/>
          <w:color w:val="000000" w:themeColor="text1"/>
        </w:rPr>
        <w:t>Figure 1: Process for Assessing Cost Recovery</w:t>
      </w:r>
      <w:r w:rsidR="00836796">
        <w:rPr>
          <w:i/>
          <w:color w:val="000000" w:themeColor="text1"/>
        </w:rPr>
        <w:t>’</w:t>
      </w:r>
      <w:r w:rsidR="00114712">
        <w:rPr>
          <w:i/>
          <w:color w:val="000000" w:themeColor="text1"/>
        </w:rPr>
        <w:t xml:space="preserve"> below</w:t>
      </w:r>
      <w:r w:rsidRPr="00114712">
        <w:rPr>
          <w:i/>
          <w:color w:val="000000" w:themeColor="text1"/>
        </w:rPr>
        <w:t xml:space="preserve">). An internal PIRSA Finance Committee </w:t>
      </w:r>
      <w:r w:rsidRPr="00AD3664">
        <w:rPr>
          <w:i/>
        </w:rPr>
        <w:t>will assist PIRSA divisions in the design of programs to ensure consistency with the cost recovery policy.</w:t>
      </w:r>
    </w:p>
    <w:p w:rsidR="007C037F" w:rsidRPr="007C037F" w:rsidRDefault="007C037F" w:rsidP="007C037F">
      <w:pPr>
        <w:rPr>
          <w:rFonts w:ascii="Arial Narrow" w:hAnsi="Arial Narrow" w:cs="Times New Roman"/>
          <w:szCs w:val="22"/>
        </w:rPr>
      </w:pPr>
    </w:p>
    <w:p w:rsidR="007C037F" w:rsidRPr="007C037F" w:rsidRDefault="007C037F" w:rsidP="007C037F">
      <w:pPr>
        <w:rPr>
          <w:rFonts w:ascii="Arial Narrow" w:hAnsi="Arial Narrow" w:cs="Times New Roman"/>
          <w:szCs w:val="22"/>
        </w:rPr>
      </w:pPr>
      <w:bookmarkStart w:id="20" w:name="_Principle_8_–"/>
      <w:bookmarkStart w:id="21" w:name="_Toc514741811"/>
      <w:bookmarkEnd w:id="20"/>
      <w:r w:rsidRPr="007C037F">
        <w:rPr>
          <w:rFonts w:ascii="Arial Narrow" w:hAnsi="Arial Narrow" w:cs="Times New Roman"/>
          <w:noProof/>
          <w:szCs w:val="22"/>
          <w:lang w:eastAsia="en-AU"/>
        </w:rPr>
        <w:drawing>
          <wp:inline distT="0" distB="0" distL="0" distR="0">
            <wp:extent cx="5798185" cy="68929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8185" cy="6892925"/>
                    </a:xfrm>
                    <a:prstGeom prst="rect">
                      <a:avLst/>
                    </a:prstGeom>
                    <a:noFill/>
                    <a:ln>
                      <a:noFill/>
                    </a:ln>
                  </pic:spPr>
                </pic:pic>
              </a:graphicData>
            </a:graphic>
          </wp:inline>
        </w:drawing>
      </w:r>
    </w:p>
    <w:p w:rsidR="007C037F" w:rsidRPr="00AD3664" w:rsidRDefault="007C037F" w:rsidP="007C037F">
      <w:pPr>
        <w:keepNext/>
        <w:keepLines/>
        <w:tabs>
          <w:tab w:val="left" w:pos="851"/>
        </w:tabs>
        <w:spacing w:after="120"/>
        <w:ind w:left="720" w:hanging="1004"/>
        <w:outlineLvl w:val="2"/>
        <w:rPr>
          <w:b/>
        </w:rPr>
      </w:pPr>
      <w:r w:rsidRPr="00AD3664">
        <w:rPr>
          <w:b/>
        </w:rPr>
        <w:t>Principle 8 – Cost recovery guidelines</w:t>
      </w:r>
      <w:bookmarkEnd w:id="21"/>
    </w:p>
    <w:p w:rsidR="007C037F" w:rsidRPr="00AD3664" w:rsidRDefault="007C037F" w:rsidP="00AD3664">
      <w:pPr>
        <w:rPr>
          <w:lang w:val="en-US"/>
        </w:rPr>
      </w:pPr>
      <w:r w:rsidRPr="00AD3664">
        <w:rPr>
          <w:lang w:val="en-US"/>
        </w:rPr>
        <w:t xml:space="preserve">To ensure consistency with Australian Government Cost Recovery Guidelines, each PIRSA Division will document a risk assessment to describe the risks of charging for the regulatory activity and how they will be managed. Each Division will develop a Cost Recovery Implementation Statement tailored to the activities of the Division (an example can be found at the Australian Government Charging Framework website </w:t>
      </w:r>
      <w:r w:rsidRPr="00AD3664">
        <w:rPr>
          <w:lang w:val="en-US"/>
        </w:rPr>
        <w:br/>
      </w:r>
      <w:hyperlink r:id="rId23" w:history="1">
        <w:r w:rsidR="00836796">
          <w:rPr>
            <w:color w:val="0000FF"/>
            <w:u w:val="single"/>
            <w:lang w:val="en-US"/>
          </w:rPr>
          <w:t>Australian Government Charging Framework | Department of Finance</w:t>
        </w:r>
      </w:hyperlink>
      <w:r w:rsidRPr="00AD3664">
        <w:rPr>
          <w:lang w:val="en-US"/>
        </w:rPr>
        <w:t xml:space="preserve"> </w:t>
      </w:r>
    </w:p>
    <w:p w:rsidR="007C037F" w:rsidRPr="00AD3664" w:rsidRDefault="007C037F" w:rsidP="00AD3664">
      <w:r w:rsidRPr="00AD3664">
        <w:rPr>
          <w:lang w:val="en-US"/>
        </w:rPr>
        <w:t xml:space="preserve">Extensive economic analysis by the </w:t>
      </w:r>
      <w:hyperlink r:id="rId24" w:history="1">
        <w:r w:rsidRPr="00AD3664">
          <w:rPr>
            <w:color w:val="0000FF"/>
            <w:u w:val="single"/>
            <w:lang w:val="en-US"/>
          </w:rPr>
          <w:t>Australian Productivity Commission</w:t>
        </w:r>
      </w:hyperlink>
      <w:r w:rsidRPr="00AD3664">
        <w:rPr>
          <w:lang w:val="en-US"/>
        </w:rPr>
        <w:t xml:space="preserve"> (2002) provides a robust policy framework from which PIRSA can operate</w:t>
      </w:r>
      <w:r w:rsidRPr="00AD3664">
        <w:t xml:space="preserve">. </w:t>
      </w:r>
    </w:p>
    <w:p w:rsidR="007C037F" w:rsidRPr="00AD3664" w:rsidRDefault="007C037F" w:rsidP="007C037F">
      <w:r w:rsidRPr="00AD3664">
        <w:rPr>
          <w:noProof/>
          <w:lang w:eastAsia="en-AU"/>
        </w:rPr>
        <mc:AlternateContent>
          <mc:Choice Requires="wps">
            <w:drawing>
              <wp:anchor distT="0" distB="0" distL="114300" distR="114300" simplePos="0" relativeHeight="251659264" behindDoc="0" locked="0" layoutInCell="1" allowOverlap="1" wp14:anchorId="7D6F24AE" wp14:editId="2BDF2F35">
                <wp:simplePos x="0" y="0"/>
                <wp:positionH relativeFrom="margin">
                  <wp:posOffset>-660</wp:posOffset>
                </wp:positionH>
                <wp:positionV relativeFrom="paragraph">
                  <wp:posOffset>111125</wp:posOffset>
                </wp:positionV>
                <wp:extent cx="5777865" cy="6400800"/>
                <wp:effectExtent l="0" t="0" r="1333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865" cy="6400800"/>
                        </a:xfrm>
                        <a:prstGeom prst="rect">
                          <a:avLst/>
                        </a:prstGeom>
                        <a:solidFill>
                          <a:srgbClr val="FFFFFF"/>
                        </a:solidFill>
                        <a:ln w="9525">
                          <a:solidFill>
                            <a:srgbClr val="000000"/>
                          </a:solidFill>
                          <a:miter lim="800000"/>
                          <a:headEnd/>
                          <a:tailEnd/>
                        </a:ln>
                      </wps:spPr>
                      <wps:txbx>
                        <w:txbxContent>
                          <w:p w:rsidR="00AD3664" w:rsidRPr="00AD3664" w:rsidRDefault="00AD3664" w:rsidP="00AD3664">
                            <w:pPr>
                              <w:pStyle w:val="Pa12"/>
                              <w:spacing w:before="120" w:after="240" w:line="240" w:lineRule="auto"/>
                              <w:rPr>
                                <w:rFonts w:ascii="Arial" w:hAnsi="Arial" w:cs="Arial"/>
                                <w:i/>
                                <w:szCs w:val="22"/>
                              </w:rPr>
                            </w:pPr>
                            <w:r w:rsidRPr="00AD3664">
                              <w:rPr>
                                <w:rFonts w:ascii="Arial" w:hAnsi="Arial" w:cs="Arial"/>
                                <w:i/>
                                <w:szCs w:val="22"/>
                              </w:rPr>
                              <w:t xml:space="preserve">The guidance provided in these Australian Productivity Commission guidelines follows a relatively simple decision making sequence, with a flowchart approach to guiding through critical decision points and risk assessments. The key questions to be answered through this process include: </w:t>
                            </w:r>
                          </w:p>
                          <w:p w:rsidR="00AD3664" w:rsidRPr="00AD3664" w:rsidRDefault="00AD3664" w:rsidP="00AD3664">
                            <w:pPr>
                              <w:pStyle w:val="Pa12"/>
                              <w:spacing w:before="120" w:after="120" w:line="240" w:lineRule="auto"/>
                              <w:rPr>
                                <w:rFonts w:ascii="Arial" w:hAnsi="Arial" w:cs="Arial"/>
                                <w:b/>
                                <w:i/>
                                <w:szCs w:val="22"/>
                              </w:rPr>
                            </w:pPr>
                            <w:r w:rsidRPr="00AD3664">
                              <w:rPr>
                                <w:rFonts w:ascii="Arial" w:hAnsi="Arial" w:cs="Arial"/>
                                <w:b/>
                                <w:bCs/>
                                <w:i/>
                                <w:szCs w:val="22"/>
                              </w:rPr>
                              <w:t>Initial policy review</w:t>
                            </w:r>
                          </w:p>
                          <w:p w:rsidR="00AD3664" w:rsidRPr="00AD3664" w:rsidRDefault="00AD3664" w:rsidP="00AD3664">
                            <w:pPr>
                              <w:pStyle w:val="Pa11"/>
                              <w:numPr>
                                <w:ilvl w:val="0"/>
                                <w:numId w:val="24"/>
                              </w:numPr>
                              <w:spacing w:before="120" w:after="120" w:line="240" w:lineRule="auto"/>
                              <w:ind w:left="357" w:hanging="357"/>
                              <w:rPr>
                                <w:rFonts w:ascii="Arial" w:hAnsi="Arial" w:cs="Arial"/>
                                <w:i/>
                                <w:szCs w:val="22"/>
                              </w:rPr>
                            </w:pPr>
                            <w:r w:rsidRPr="00AD3664">
                              <w:rPr>
                                <w:rFonts w:ascii="Arial" w:hAnsi="Arial" w:cs="Arial"/>
                                <w:i/>
                                <w:szCs w:val="22"/>
                              </w:rPr>
                              <w:t>Which of PIRSA objectives are relevant to the activities or products being considered for cost recovery?</w:t>
                            </w:r>
                          </w:p>
                          <w:p w:rsidR="00AD3664" w:rsidRPr="00AD3664" w:rsidRDefault="00AD3664" w:rsidP="00AD3664">
                            <w:pPr>
                              <w:pStyle w:val="Pa11"/>
                              <w:numPr>
                                <w:ilvl w:val="0"/>
                                <w:numId w:val="24"/>
                              </w:numPr>
                              <w:spacing w:before="120" w:after="120" w:line="240" w:lineRule="auto"/>
                              <w:ind w:left="357" w:hanging="357"/>
                              <w:rPr>
                                <w:rFonts w:ascii="Arial" w:hAnsi="Arial" w:cs="Arial"/>
                                <w:i/>
                                <w:szCs w:val="22"/>
                              </w:rPr>
                            </w:pPr>
                            <w:r w:rsidRPr="00AD3664">
                              <w:rPr>
                                <w:rFonts w:ascii="Arial" w:hAnsi="Arial" w:cs="Arial"/>
                                <w:i/>
                                <w:szCs w:val="22"/>
                              </w:rPr>
                              <w:t>Should cost recovery be introduced?</w:t>
                            </w:r>
                          </w:p>
                          <w:p w:rsidR="00AD3664" w:rsidRPr="00AD3664" w:rsidRDefault="00AD3664" w:rsidP="00AD3664">
                            <w:pPr>
                              <w:pStyle w:val="Pa11"/>
                              <w:numPr>
                                <w:ilvl w:val="0"/>
                                <w:numId w:val="24"/>
                              </w:numPr>
                              <w:spacing w:before="120" w:after="120" w:line="240" w:lineRule="auto"/>
                              <w:ind w:left="357" w:hanging="357"/>
                              <w:rPr>
                                <w:rFonts w:ascii="Arial" w:hAnsi="Arial" w:cs="Arial"/>
                                <w:i/>
                                <w:szCs w:val="22"/>
                              </w:rPr>
                            </w:pPr>
                            <w:r w:rsidRPr="00AD3664">
                              <w:rPr>
                                <w:rFonts w:ascii="Arial" w:hAnsi="Arial" w:cs="Arial"/>
                                <w:i/>
                                <w:szCs w:val="22"/>
                              </w:rPr>
                              <w:t>What mechanisms, including consultation, should be used for ongoing monitoring of the efficiency and effectiveness of cost recovery arrangements?</w:t>
                            </w:r>
                          </w:p>
                          <w:p w:rsidR="00AD3664" w:rsidRPr="00AD3664" w:rsidRDefault="00AD3664" w:rsidP="00AD3664">
                            <w:pPr>
                              <w:pStyle w:val="Pa11"/>
                              <w:numPr>
                                <w:ilvl w:val="0"/>
                                <w:numId w:val="24"/>
                              </w:numPr>
                              <w:spacing w:before="120" w:after="120" w:line="240" w:lineRule="auto"/>
                              <w:rPr>
                                <w:rFonts w:ascii="Arial" w:hAnsi="Arial" w:cs="Arial"/>
                                <w:i/>
                                <w:szCs w:val="22"/>
                              </w:rPr>
                            </w:pPr>
                            <w:r w:rsidRPr="00AD3664">
                              <w:rPr>
                                <w:rFonts w:ascii="Arial" w:hAnsi="Arial" w:cs="Arial"/>
                                <w:i/>
                                <w:szCs w:val="22"/>
                              </w:rPr>
                              <w:t>How long (not more than five years) before the cost recovery arrangements should be reviewed again?</w:t>
                            </w:r>
                          </w:p>
                          <w:p w:rsidR="00AD3664" w:rsidRPr="00AD3664" w:rsidRDefault="00AD3664" w:rsidP="00AD3664">
                            <w:pPr>
                              <w:pStyle w:val="Pa12"/>
                              <w:spacing w:before="120" w:after="120" w:line="240" w:lineRule="auto"/>
                              <w:rPr>
                                <w:rFonts w:ascii="Arial" w:hAnsi="Arial" w:cs="Arial"/>
                                <w:b/>
                                <w:bCs/>
                                <w:i/>
                                <w:szCs w:val="22"/>
                              </w:rPr>
                            </w:pPr>
                            <w:r w:rsidRPr="00AD3664">
                              <w:rPr>
                                <w:rFonts w:ascii="Arial" w:hAnsi="Arial" w:cs="Arial"/>
                                <w:b/>
                                <w:bCs/>
                                <w:i/>
                                <w:szCs w:val="22"/>
                              </w:rPr>
                              <w:t xml:space="preserve">Design  </w:t>
                            </w:r>
                          </w:p>
                          <w:p w:rsidR="00AD3664" w:rsidRPr="00AD3664" w:rsidRDefault="00AD3664" w:rsidP="00AD3664">
                            <w:pPr>
                              <w:pStyle w:val="Pa12"/>
                              <w:spacing w:before="120" w:after="120" w:line="240" w:lineRule="auto"/>
                              <w:rPr>
                                <w:rFonts w:ascii="Arial" w:hAnsi="Arial" w:cs="Arial"/>
                                <w:i/>
                                <w:szCs w:val="22"/>
                              </w:rPr>
                            </w:pPr>
                            <w:r w:rsidRPr="00AD3664">
                              <w:rPr>
                                <w:rFonts w:ascii="Arial" w:hAnsi="Arial" w:cs="Arial"/>
                                <w:i/>
                                <w:szCs w:val="22"/>
                              </w:rPr>
                              <w:t>Where cost recovery is appropriate:</w:t>
                            </w:r>
                          </w:p>
                          <w:p w:rsidR="00AD3664" w:rsidRPr="00AD3664" w:rsidRDefault="00AD3664" w:rsidP="00AD3664">
                            <w:pPr>
                              <w:pStyle w:val="Pa12"/>
                              <w:numPr>
                                <w:ilvl w:val="0"/>
                                <w:numId w:val="26"/>
                              </w:numPr>
                              <w:spacing w:before="120" w:after="120" w:line="240" w:lineRule="auto"/>
                              <w:rPr>
                                <w:rFonts w:ascii="Arial" w:hAnsi="Arial" w:cs="Arial"/>
                                <w:i/>
                                <w:szCs w:val="22"/>
                              </w:rPr>
                            </w:pPr>
                            <w:r w:rsidRPr="00AD3664">
                              <w:rPr>
                                <w:rFonts w:ascii="Arial" w:hAnsi="Arial" w:cs="Arial"/>
                                <w:i/>
                                <w:szCs w:val="22"/>
                              </w:rPr>
                              <w:t>Who should pay cost recovery charges?</w:t>
                            </w:r>
                          </w:p>
                          <w:p w:rsidR="00AD3664" w:rsidRPr="00AD3664" w:rsidRDefault="00AD3664" w:rsidP="00AD3664">
                            <w:pPr>
                              <w:pStyle w:val="Pa12"/>
                              <w:numPr>
                                <w:ilvl w:val="0"/>
                                <w:numId w:val="26"/>
                              </w:numPr>
                              <w:spacing w:before="120" w:after="120" w:line="240" w:lineRule="auto"/>
                              <w:rPr>
                                <w:rFonts w:ascii="Arial" w:hAnsi="Arial" w:cs="Arial"/>
                                <w:i/>
                                <w:szCs w:val="22"/>
                              </w:rPr>
                            </w:pPr>
                            <w:r w:rsidRPr="00AD3664">
                              <w:rPr>
                                <w:rFonts w:ascii="Arial" w:hAnsi="Arial" w:cs="Arial"/>
                                <w:i/>
                                <w:szCs w:val="22"/>
                              </w:rPr>
                              <w:t>Should cost recovery charges be imposed using fees or levies?</w:t>
                            </w:r>
                          </w:p>
                          <w:p w:rsidR="00AD3664" w:rsidRPr="00AD3664" w:rsidRDefault="00AD3664" w:rsidP="00AD3664">
                            <w:pPr>
                              <w:pStyle w:val="Pa12"/>
                              <w:numPr>
                                <w:ilvl w:val="0"/>
                                <w:numId w:val="26"/>
                              </w:numPr>
                              <w:spacing w:before="120" w:after="120" w:line="240" w:lineRule="auto"/>
                              <w:rPr>
                                <w:rFonts w:ascii="Arial" w:hAnsi="Arial" w:cs="Arial"/>
                                <w:i/>
                                <w:szCs w:val="22"/>
                              </w:rPr>
                            </w:pPr>
                            <w:r w:rsidRPr="00AD3664">
                              <w:rPr>
                                <w:rFonts w:ascii="Arial" w:hAnsi="Arial" w:cs="Arial"/>
                                <w:i/>
                                <w:szCs w:val="22"/>
                              </w:rPr>
                              <w:t>What are the legal requirements for the imposition of charges?</w:t>
                            </w:r>
                          </w:p>
                          <w:p w:rsidR="00AD3664" w:rsidRPr="00AD3664" w:rsidRDefault="00AD3664" w:rsidP="00AD3664">
                            <w:pPr>
                              <w:pStyle w:val="Pa12"/>
                              <w:numPr>
                                <w:ilvl w:val="0"/>
                                <w:numId w:val="26"/>
                              </w:numPr>
                              <w:spacing w:before="120" w:after="120" w:line="240" w:lineRule="auto"/>
                              <w:rPr>
                                <w:rFonts w:ascii="Arial" w:hAnsi="Arial" w:cs="Arial"/>
                                <w:i/>
                                <w:szCs w:val="22"/>
                              </w:rPr>
                            </w:pPr>
                            <w:r w:rsidRPr="00AD3664">
                              <w:rPr>
                                <w:rFonts w:ascii="Arial" w:hAnsi="Arial" w:cs="Arial"/>
                                <w:i/>
                                <w:szCs w:val="22"/>
                              </w:rPr>
                              <w:t>Which issues should any legislation address?</w:t>
                            </w:r>
                          </w:p>
                          <w:p w:rsidR="00AD3664" w:rsidRPr="00AD3664" w:rsidRDefault="00AD3664" w:rsidP="00AD3664">
                            <w:pPr>
                              <w:pStyle w:val="Pa12"/>
                              <w:numPr>
                                <w:ilvl w:val="0"/>
                                <w:numId w:val="26"/>
                              </w:numPr>
                              <w:spacing w:before="120" w:after="120" w:line="240" w:lineRule="auto"/>
                              <w:rPr>
                                <w:rFonts w:ascii="Arial" w:hAnsi="Arial" w:cs="Arial"/>
                                <w:i/>
                                <w:szCs w:val="22"/>
                              </w:rPr>
                            </w:pPr>
                            <w:r w:rsidRPr="00AD3664">
                              <w:rPr>
                                <w:rFonts w:ascii="Arial" w:hAnsi="Arial" w:cs="Arial"/>
                                <w:i/>
                                <w:szCs w:val="22"/>
                              </w:rPr>
                              <w:t>Which costs should the charges include?</w:t>
                            </w:r>
                          </w:p>
                          <w:p w:rsidR="00AD3664" w:rsidRPr="00AD3664" w:rsidRDefault="00AD3664" w:rsidP="00AD3664">
                            <w:pPr>
                              <w:pStyle w:val="Pa12"/>
                              <w:numPr>
                                <w:ilvl w:val="0"/>
                                <w:numId w:val="26"/>
                              </w:numPr>
                              <w:spacing w:before="120" w:after="120" w:line="240" w:lineRule="auto"/>
                              <w:rPr>
                                <w:rFonts w:ascii="Arial" w:hAnsi="Arial" w:cs="Arial"/>
                                <w:i/>
                                <w:szCs w:val="22"/>
                              </w:rPr>
                            </w:pPr>
                            <w:r w:rsidRPr="00AD3664">
                              <w:rPr>
                                <w:rFonts w:ascii="Arial" w:hAnsi="Arial" w:cs="Arial"/>
                                <w:i/>
                                <w:szCs w:val="22"/>
                              </w:rPr>
                              <w:t>How should charges be structured?</w:t>
                            </w:r>
                          </w:p>
                          <w:p w:rsidR="00AD3664" w:rsidRPr="00AD3664" w:rsidRDefault="00AD3664" w:rsidP="00AD3664">
                            <w:pPr>
                              <w:pStyle w:val="Pa12"/>
                              <w:numPr>
                                <w:ilvl w:val="0"/>
                                <w:numId w:val="26"/>
                              </w:numPr>
                              <w:spacing w:before="120" w:after="120" w:line="240" w:lineRule="auto"/>
                              <w:ind w:left="357" w:hanging="357"/>
                              <w:rPr>
                                <w:rFonts w:ascii="Arial" w:hAnsi="Arial" w:cs="Arial"/>
                                <w:i/>
                                <w:szCs w:val="22"/>
                              </w:rPr>
                            </w:pPr>
                            <w:r w:rsidRPr="00AD3664">
                              <w:rPr>
                                <w:rFonts w:ascii="Arial" w:hAnsi="Arial" w:cs="Arial"/>
                                <w:i/>
                                <w:szCs w:val="22"/>
                              </w:rPr>
                              <w:t>How should costs be calculated and allocated?</w:t>
                            </w:r>
                          </w:p>
                          <w:p w:rsidR="00AD3664" w:rsidRPr="00AD3664" w:rsidRDefault="00AD3664" w:rsidP="00AD3664">
                            <w:pPr>
                              <w:spacing w:after="120" w:line="240" w:lineRule="auto"/>
                              <w:rPr>
                                <w:i/>
                                <w:lang w:val="en-US"/>
                              </w:rPr>
                            </w:pPr>
                            <w:r w:rsidRPr="00AD3664">
                              <w:rPr>
                                <w:i/>
                                <w:lang w:val="en-US"/>
                              </w:rPr>
                              <w:t>All new methodologies or proposed significant reviews of cost recovery will be provided to the PIRSA Finance Committee to ensure consistency.</w:t>
                            </w:r>
                          </w:p>
                          <w:p w:rsidR="00AD3664" w:rsidRPr="00AD3664" w:rsidRDefault="00AD3664" w:rsidP="00AD3664">
                            <w:pPr>
                              <w:spacing w:after="120" w:line="240" w:lineRule="auto"/>
                              <w:rPr>
                                <w:i/>
                                <w:lang w:val="en-US"/>
                              </w:rPr>
                            </w:pPr>
                            <w:r w:rsidRPr="00AD3664">
                              <w:rPr>
                                <w:i/>
                                <w:lang w:val="en-US"/>
                              </w:rPr>
                              <w:t>PIRSA will document analyses conducted and make information available to interested stakeholders through the PIRSA internet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F24AE" id="_x0000_t202" coordsize="21600,21600" o:spt="202" path="m,l,21600r21600,l21600,xe">
                <v:stroke joinstyle="miter"/>
                <v:path gradientshapeok="t" o:connecttype="rect"/>
              </v:shapetype>
              <v:shape id="Text Box 4" o:spid="_x0000_s1026" type="#_x0000_t202" style="position:absolute;margin-left:-.05pt;margin-top:8.75pt;width:454.95pt;height:7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">
                <v:textbox>
                  <w:txbxContent>
                    <w:p w:rsidR="00AD3664" w:rsidRPr="00AD3664" w:rsidRDefault="00AD3664" w:rsidP="00AD3664">
                      <w:pPr>
                        <w:pStyle w:val="Pa12"/>
                        <w:spacing w:before="120" w:after="240" w:line="240" w:lineRule="auto"/>
                        <w:rPr>
                          <w:rFonts w:ascii="Arial" w:hAnsi="Arial" w:cs="Arial"/>
                          <w:i/>
                          <w:szCs w:val="22"/>
                        </w:rPr>
                      </w:pPr>
                      <w:r w:rsidRPr="00AD3664">
                        <w:rPr>
                          <w:rFonts w:ascii="Arial" w:hAnsi="Arial" w:cs="Arial"/>
                          <w:i/>
                          <w:szCs w:val="22"/>
                        </w:rPr>
                        <w:t xml:space="preserve">The guidance provided in these Australian Productivity Commission guidelines follows a relatively simple decision making sequence, with a flowchart approach to guiding through critical decision points and risk assessments. The key questions to be answered through this process include: </w:t>
                      </w:r>
                    </w:p>
                    <w:p w:rsidR="00AD3664" w:rsidRPr="00AD3664" w:rsidRDefault="00AD3664" w:rsidP="00AD3664">
                      <w:pPr>
                        <w:pStyle w:val="Pa12"/>
                        <w:spacing w:before="120" w:after="120" w:line="240" w:lineRule="auto"/>
                        <w:rPr>
                          <w:rFonts w:ascii="Arial" w:hAnsi="Arial" w:cs="Arial"/>
                          <w:b/>
                          <w:i/>
                          <w:szCs w:val="22"/>
                        </w:rPr>
                      </w:pPr>
                      <w:r w:rsidRPr="00AD3664">
                        <w:rPr>
                          <w:rFonts w:ascii="Arial" w:hAnsi="Arial" w:cs="Arial"/>
                          <w:b/>
                          <w:bCs/>
                          <w:i/>
                          <w:szCs w:val="22"/>
                        </w:rPr>
                        <w:t>Initial policy review</w:t>
                      </w:r>
                    </w:p>
                    <w:p w:rsidR="00AD3664" w:rsidRPr="00AD3664" w:rsidRDefault="00AD3664" w:rsidP="00AD3664">
                      <w:pPr>
                        <w:pStyle w:val="Pa11"/>
                        <w:numPr>
                          <w:ilvl w:val="0"/>
                          <w:numId w:val="24"/>
                        </w:numPr>
                        <w:spacing w:before="120" w:after="120" w:line="240" w:lineRule="auto"/>
                        <w:ind w:left="357" w:hanging="357"/>
                        <w:rPr>
                          <w:rFonts w:ascii="Arial" w:hAnsi="Arial" w:cs="Arial"/>
                          <w:i/>
                          <w:szCs w:val="22"/>
                        </w:rPr>
                      </w:pPr>
                      <w:r w:rsidRPr="00AD3664">
                        <w:rPr>
                          <w:rFonts w:ascii="Arial" w:hAnsi="Arial" w:cs="Arial"/>
                          <w:i/>
                          <w:szCs w:val="22"/>
                        </w:rPr>
                        <w:t>Which of PIRSA objectives are relevant to the activities or products being considered for cost recovery?</w:t>
                      </w:r>
                    </w:p>
                    <w:p w:rsidR="00AD3664" w:rsidRPr="00AD3664" w:rsidRDefault="00AD3664" w:rsidP="00AD3664">
                      <w:pPr>
                        <w:pStyle w:val="Pa11"/>
                        <w:numPr>
                          <w:ilvl w:val="0"/>
                          <w:numId w:val="24"/>
                        </w:numPr>
                        <w:spacing w:before="120" w:after="120" w:line="240" w:lineRule="auto"/>
                        <w:ind w:left="357" w:hanging="357"/>
                        <w:rPr>
                          <w:rFonts w:ascii="Arial" w:hAnsi="Arial" w:cs="Arial"/>
                          <w:i/>
                          <w:szCs w:val="22"/>
                        </w:rPr>
                      </w:pPr>
                      <w:r w:rsidRPr="00AD3664">
                        <w:rPr>
                          <w:rFonts w:ascii="Arial" w:hAnsi="Arial" w:cs="Arial"/>
                          <w:i/>
                          <w:szCs w:val="22"/>
                        </w:rPr>
                        <w:t>Should cost recovery be introduced?</w:t>
                      </w:r>
                    </w:p>
                    <w:p w:rsidR="00AD3664" w:rsidRPr="00AD3664" w:rsidRDefault="00AD3664" w:rsidP="00AD3664">
                      <w:pPr>
                        <w:pStyle w:val="Pa11"/>
                        <w:numPr>
                          <w:ilvl w:val="0"/>
                          <w:numId w:val="24"/>
                        </w:numPr>
                        <w:spacing w:before="120" w:after="120" w:line="240" w:lineRule="auto"/>
                        <w:ind w:left="357" w:hanging="357"/>
                        <w:rPr>
                          <w:rFonts w:ascii="Arial" w:hAnsi="Arial" w:cs="Arial"/>
                          <w:i/>
                          <w:szCs w:val="22"/>
                        </w:rPr>
                      </w:pPr>
                      <w:r w:rsidRPr="00AD3664">
                        <w:rPr>
                          <w:rFonts w:ascii="Arial" w:hAnsi="Arial" w:cs="Arial"/>
                          <w:i/>
                          <w:szCs w:val="22"/>
                        </w:rPr>
                        <w:t>What mechanisms, including consultation, should be used for ongoing monitoring of the efficiency and effectiveness of cost recovery arrangements?</w:t>
                      </w:r>
                    </w:p>
                    <w:p w:rsidR="00AD3664" w:rsidRPr="00AD3664" w:rsidRDefault="00AD3664" w:rsidP="00AD3664">
                      <w:pPr>
                        <w:pStyle w:val="Pa11"/>
                        <w:numPr>
                          <w:ilvl w:val="0"/>
                          <w:numId w:val="24"/>
                        </w:numPr>
                        <w:spacing w:before="120" w:after="120" w:line="240" w:lineRule="auto"/>
                        <w:rPr>
                          <w:rFonts w:ascii="Arial" w:hAnsi="Arial" w:cs="Arial"/>
                          <w:i/>
                          <w:szCs w:val="22"/>
                        </w:rPr>
                      </w:pPr>
                      <w:r w:rsidRPr="00AD3664">
                        <w:rPr>
                          <w:rFonts w:ascii="Arial" w:hAnsi="Arial" w:cs="Arial"/>
                          <w:i/>
                          <w:szCs w:val="22"/>
                        </w:rPr>
                        <w:t>How long (not more than five years) before the cost recovery arrangements should be reviewed again?</w:t>
                      </w:r>
                    </w:p>
                    <w:p w:rsidR="00AD3664" w:rsidRPr="00AD3664" w:rsidRDefault="00AD3664" w:rsidP="00AD3664">
                      <w:pPr>
                        <w:pStyle w:val="Pa12"/>
                        <w:spacing w:before="120" w:after="120" w:line="240" w:lineRule="auto"/>
                        <w:rPr>
                          <w:rFonts w:ascii="Arial" w:hAnsi="Arial" w:cs="Arial"/>
                          <w:b/>
                          <w:bCs/>
                          <w:i/>
                          <w:szCs w:val="22"/>
                        </w:rPr>
                      </w:pPr>
                      <w:r w:rsidRPr="00AD3664">
                        <w:rPr>
                          <w:rFonts w:ascii="Arial" w:hAnsi="Arial" w:cs="Arial"/>
                          <w:b/>
                          <w:bCs/>
                          <w:i/>
                          <w:szCs w:val="22"/>
                        </w:rPr>
                        <w:t xml:space="preserve">Design  </w:t>
                      </w:r>
                    </w:p>
                    <w:p w:rsidR="00AD3664" w:rsidRPr="00AD3664" w:rsidRDefault="00AD3664" w:rsidP="00AD3664">
                      <w:pPr>
                        <w:pStyle w:val="Pa12"/>
                        <w:spacing w:before="120" w:after="120" w:line="240" w:lineRule="auto"/>
                        <w:rPr>
                          <w:rFonts w:ascii="Arial" w:hAnsi="Arial" w:cs="Arial"/>
                          <w:i/>
                          <w:szCs w:val="22"/>
                        </w:rPr>
                      </w:pPr>
                      <w:r w:rsidRPr="00AD3664">
                        <w:rPr>
                          <w:rFonts w:ascii="Arial" w:hAnsi="Arial" w:cs="Arial"/>
                          <w:i/>
                          <w:szCs w:val="22"/>
                        </w:rPr>
                        <w:t>Where cost recovery is appropriate:</w:t>
                      </w:r>
                    </w:p>
                    <w:p w:rsidR="00AD3664" w:rsidRPr="00AD3664" w:rsidRDefault="00AD3664" w:rsidP="00AD3664">
                      <w:pPr>
                        <w:pStyle w:val="Pa12"/>
                        <w:numPr>
                          <w:ilvl w:val="0"/>
                          <w:numId w:val="26"/>
                        </w:numPr>
                        <w:spacing w:before="120" w:after="120" w:line="240" w:lineRule="auto"/>
                        <w:rPr>
                          <w:rFonts w:ascii="Arial" w:hAnsi="Arial" w:cs="Arial"/>
                          <w:i/>
                          <w:szCs w:val="22"/>
                        </w:rPr>
                      </w:pPr>
                      <w:r w:rsidRPr="00AD3664">
                        <w:rPr>
                          <w:rFonts w:ascii="Arial" w:hAnsi="Arial" w:cs="Arial"/>
                          <w:i/>
                          <w:szCs w:val="22"/>
                        </w:rPr>
                        <w:t>Who should pay cost recovery charges?</w:t>
                      </w:r>
                    </w:p>
                    <w:p w:rsidR="00AD3664" w:rsidRPr="00AD3664" w:rsidRDefault="00AD3664" w:rsidP="00AD3664">
                      <w:pPr>
                        <w:pStyle w:val="Pa12"/>
                        <w:numPr>
                          <w:ilvl w:val="0"/>
                          <w:numId w:val="26"/>
                        </w:numPr>
                        <w:spacing w:before="120" w:after="120" w:line="240" w:lineRule="auto"/>
                        <w:rPr>
                          <w:rFonts w:ascii="Arial" w:hAnsi="Arial" w:cs="Arial"/>
                          <w:i/>
                          <w:szCs w:val="22"/>
                        </w:rPr>
                      </w:pPr>
                      <w:r w:rsidRPr="00AD3664">
                        <w:rPr>
                          <w:rFonts w:ascii="Arial" w:hAnsi="Arial" w:cs="Arial"/>
                          <w:i/>
                          <w:szCs w:val="22"/>
                        </w:rPr>
                        <w:t>Should cost recovery charges be imposed using fees or levies?</w:t>
                      </w:r>
                    </w:p>
                    <w:p w:rsidR="00AD3664" w:rsidRPr="00AD3664" w:rsidRDefault="00AD3664" w:rsidP="00AD3664">
                      <w:pPr>
                        <w:pStyle w:val="Pa12"/>
                        <w:numPr>
                          <w:ilvl w:val="0"/>
                          <w:numId w:val="26"/>
                        </w:numPr>
                        <w:spacing w:before="120" w:after="120" w:line="240" w:lineRule="auto"/>
                        <w:rPr>
                          <w:rFonts w:ascii="Arial" w:hAnsi="Arial" w:cs="Arial"/>
                          <w:i/>
                          <w:szCs w:val="22"/>
                        </w:rPr>
                      </w:pPr>
                      <w:r w:rsidRPr="00AD3664">
                        <w:rPr>
                          <w:rFonts w:ascii="Arial" w:hAnsi="Arial" w:cs="Arial"/>
                          <w:i/>
                          <w:szCs w:val="22"/>
                        </w:rPr>
                        <w:t>What are the legal requirements for the imposition of charges?</w:t>
                      </w:r>
                    </w:p>
                    <w:p w:rsidR="00AD3664" w:rsidRPr="00AD3664" w:rsidRDefault="00AD3664" w:rsidP="00AD3664">
                      <w:pPr>
                        <w:pStyle w:val="Pa12"/>
                        <w:numPr>
                          <w:ilvl w:val="0"/>
                          <w:numId w:val="26"/>
                        </w:numPr>
                        <w:spacing w:before="120" w:after="120" w:line="240" w:lineRule="auto"/>
                        <w:rPr>
                          <w:rFonts w:ascii="Arial" w:hAnsi="Arial" w:cs="Arial"/>
                          <w:i/>
                          <w:szCs w:val="22"/>
                        </w:rPr>
                      </w:pPr>
                      <w:r w:rsidRPr="00AD3664">
                        <w:rPr>
                          <w:rFonts w:ascii="Arial" w:hAnsi="Arial" w:cs="Arial"/>
                          <w:i/>
                          <w:szCs w:val="22"/>
                        </w:rPr>
                        <w:t>Which issues should any legislation address?</w:t>
                      </w:r>
                    </w:p>
                    <w:p w:rsidR="00AD3664" w:rsidRPr="00AD3664" w:rsidRDefault="00AD3664" w:rsidP="00AD3664">
                      <w:pPr>
                        <w:pStyle w:val="Pa12"/>
                        <w:numPr>
                          <w:ilvl w:val="0"/>
                          <w:numId w:val="26"/>
                        </w:numPr>
                        <w:spacing w:before="120" w:after="120" w:line="240" w:lineRule="auto"/>
                        <w:rPr>
                          <w:rFonts w:ascii="Arial" w:hAnsi="Arial" w:cs="Arial"/>
                          <w:i/>
                          <w:szCs w:val="22"/>
                        </w:rPr>
                      </w:pPr>
                      <w:r w:rsidRPr="00AD3664">
                        <w:rPr>
                          <w:rFonts w:ascii="Arial" w:hAnsi="Arial" w:cs="Arial"/>
                          <w:i/>
                          <w:szCs w:val="22"/>
                        </w:rPr>
                        <w:t>Which costs should the charges include?</w:t>
                      </w:r>
                    </w:p>
                    <w:p w:rsidR="00AD3664" w:rsidRPr="00AD3664" w:rsidRDefault="00AD3664" w:rsidP="00AD3664">
                      <w:pPr>
                        <w:pStyle w:val="Pa12"/>
                        <w:numPr>
                          <w:ilvl w:val="0"/>
                          <w:numId w:val="26"/>
                        </w:numPr>
                        <w:spacing w:before="120" w:after="120" w:line="240" w:lineRule="auto"/>
                        <w:rPr>
                          <w:rFonts w:ascii="Arial" w:hAnsi="Arial" w:cs="Arial"/>
                          <w:i/>
                          <w:szCs w:val="22"/>
                        </w:rPr>
                      </w:pPr>
                      <w:r w:rsidRPr="00AD3664">
                        <w:rPr>
                          <w:rFonts w:ascii="Arial" w:hAnsi="Arial" w:cs="Arial"/>
                          <w:i/>
                          <w:szCs w:val="22"/>
                        </w:rPr>
                        <w:t>How should charges be structured?</w:t>
                      </w:r>
                    </w:p>
                    <w:p w:rsidR="00AD3664" w:rsidRPr="00AD3664" w:rsidRDefault="00AD3664" w:rsidP="00AD3664">
                      <w:pPr>
                        <w:pStyle w:val="Pa12"/>
                        <w:numPr>
                          <w:ilvl w:val="0"/>
                          <w:numId w:val="26"/>
                        </w:numPr>
                        <w:spacing w:before="120" w:after="120" w:line="240" w:lineRule="auto"/>
                        <w:ind w:left="357" w:hanging="357"/>
                        <w:rPr>
                          <w:rFonts w:ascii="Arial" w:hAnsi="Arial" w:cs="Arial"/>
                          <w:i/>
                          <w:szCs w:val="22"/>
                        </w:rPr>
                      </w:pPr>
                      <w:r w:rsidRPr="00AD3664">
                        <w:rPr>
                          <w:rFonts w:ascii="Arial" w:hAnsi="Arial" w:cs="Arial"/>
                          <w:i/>
                          <w:szCs w:val="22"/>
                        </w:rPr>
                        <w:t>How should costs be calculated and allocated?</w:t>
                      </w:r>
                    </w:p>
                    <w:p w:rsidR="00AD3664" w:rsidRPr="00AD3664" w:rsidRDefault="00AD3664" w:rsidP="00AD3664">
                      <w:pPr>
                        <w:spacing w:after="120" w:line="240" w:lineRule="auto"/>
                        <w:rPr>
                          <w:i/>
                          <w:lang w:val="en-US"/>
                        </w:rPr>
                      </w:pPr>
                      <w:r w:rsidRPr="00AD3664">
                        <w:rPr>
                          <w:i/>
                          <w:lang w:val="en-US"/>
                        </w:rPr>
                        <w:t>All new methodologies or proposed significant reviews of cost recovery will be provided to the PIRSA Finance Committee to ensure consistency.</w:t>
                      </w:r>
                    </w:p>
                    <w:p w:rsidR="00AD3664" w:rsidRPr="00AD3664" w:rsidRDefault="00AD3664" w:rsidP="00AD3664">
                      <w:pPr>
                        <w:spacing w:after="120" w:line="240" w:lineRule="auto"/>
                        <w:rPr>
                          <w:i/>
                          <w:lang w:val="en-US"/>
                        </w:rPr>
                      </w:pPr>
                      <w:r w:rsidRPr="00AD3664">
                        <w:rPr>
                          <w:i/>
                          <w:lang w:val="en-US"/>
                        </w:rPr>
                        <w:t>PIRSA will document analyses conducted and make information available to interested stakeholders through the PIRSA internet website.</w:t>
                      </w:r>
                    </w:p>
                  </w:txbxContent>
                </v:textbox>
                <w10:wrap anchorx="margin"/>
              </v:shape>
            </w:pict>
          </mc:Fallback>
        </mc:AlternateContent>
      </w:r>
    </w:p>
    <w:p w:rsidR="007C037F" w:rsidRPr="00AD3664" w:rsidRDefault="007C037F" w:rsidP="007C037F">
      <w:pPr>
        <w:keepNext/>
        <w:keepLines/>
        <w:tabs>
          <w:tab w:val="left" w:pos="851"/>
        </w:tabs>
        <w:spacing w:before="0" w:after="240"/>
        <w:outlineLvl w:val="2"/>
        <w:rPr>
          <w:b/>
        </w:rPr>
      </w:pPr>
      <w:r w:rsidRPr="00AD3664">
        <w:rPr>
          <w:b/>
        </w:rPr>
        <w:br w:type="page"/>
      </w:r>
      <w:bookmarkStart w:id="22" w:name="_Toc514741812"/>
      <w:r w:rsidRPr="00AD3664">
        <w:rPr>
          <w:b/>
        </w:rPr>
        <w:t>Principle 9 – Compliance with Government of South Australia approval requirements</w:t>
      </w:r>
      <w:bookmarkEnd w:id="22"/>
    </w:p>
    <w:p w:rsidR="007C037F" w:rsidRPr="00AD3664" w:rsidRDefault="007C037F" w:rsidP="007C037F">
      <w:pPr>
        <w:spacing w:after="120"/>
        <w:rPr>
          <w:b/>
          <w:bCs/>
        </w:rPr>
      </w:pPr>
      <w:r w:rsidRPr="00AD3664">
        <w:t>To apply the guidelines, PIRSA will document and gain approval for cost recovery arrangements in a manner consistent with Government of South Australia legislative and policy requirements.</w:t>
      </w:r>
    </w:p>
    <w:p w:rsidR="007C037F" w:rsidRPr="00AD3664" w:rsidRDefault="007C037F" w:rsidP="007C037F">
      <w:pPr>
        <w:pBdr>
          <w:top w:val="single" w:sz="4" w:space="1" w:color="auto"/>
          <w:left w:val="single" w:sz="4" w:space="4" w:color="auto"/>
          <w:bottom w:val="single" w:sz="4" w:space="1" w:color="auto"/>
          <w:right w:val="single" w:sz="4" w:space="4" w:color="auto"/>
        </w:pBdr>
        <w:rPr>
          <w:i/>
        </w:rPr>
      </w:pPr>
      <w:r w:rsidRPr="00AD3664">
        <w:rPr>
          <w:i/>
        </w:rPr>
        <w:t xml:space="preserve">Cabinet approval processes include addressing economic, financial and budgetary implications, </w:t>
      </w:r>
      <w:r w:rsidRPr="00AD3664">
        <w:rPr>
          <w:bCs/>
          <w:i/>
        </w:rPr>
        <w:t>required resources</w:t>
      </w:r>
      <w:r w:rsidRPr="00AD3664">
        <w:rPr>
          <w:i/>
        </w:rPr>
        <w:t xml:space="preserve"> (SA Department of Treasury and Finance costing comments), </w:t>
      </w:r>
      <w:r w:rsidRPr="00AD3664">
        <w:rPr>
          <w:bCs/>
          <w:i/>
        </w:rPr>
        <w:t xml:space="preserve">and regional </w:t>
      </w:r>
      <w:r w:rsidRPr="00AD3664">
        <w:rPr>
          <w:i/>
        </w:rPr>
        <w:t xml:space="preserve">impact statements on the community and the environment. Further details can be found in </w:t>
      </w:r>
      <w:hyperlink r:id="rId25" w:history="1">
        <w:r w:rsidR="00836796" w:rsidRPr="00836796">
          <w:rPr>
            <w:rStyle w:val="Hyperlink"/>
            <w:i/>
          </w:rPr>
          <w:t>SA Department of Premier and Cabinet – Cabinet Submissions Guide</w:t>
        </w:r>
      </w:hyperlink>
      <w:r w:rsidR="00836796" w:rsidRPr="00836796">
        <w:rPr>
          <w:i/>
        </w:rPr>
        <w:t xml:space="preserve"> </w:t>
      </w:r>
      <w:r w:rsidRPr="00AD3664">
        <w:rPr>
          <w:i/>
        </w:rPr>
        <w:t xml:space="preserve">and </w:t>
      </w:r>
      <w:hyperlink r:id="rId26" w:history="1">
        <w:r w:rsidRPr="00AD3664">
          <w:rPr>
            <w:i/>
            <w:color w:val="0000FF"/>
            <w:u w:val="single"/>
            <w:lang w:eastAsia="en-AU"/>
          </w:rPr>
          <w:t xml:space="preserve">South Australian Department of Treasury and Finance - Treasurer's Instruction 17 : </w:t>
        </w:r>
        <w:r w:rsidRPr="00AD3664">
          <w:rPr>
            <w:i/>
            <w:iCs/>
            <w:color w:val="0000FF"/>
            <w:u w:val="single"/>
            <w:lang w:eastAsia="en-AU"/>
          </w:rPr>
          <w:t>Guidelines for the Evaluation of Public Sector Initiatives Parts A and B</w:t>
        </w:r>
      </w:hyperlink>
      <w:r w:rsidRPr="00AD3664">
        <w:rPr>
          <w:i/>
        </w:rPr>
        <w:t>.</w:t>
      </w:r>
    </w:p>
    <w:p w:rsidR="007C037F" w:rsidRPr="00AD3664" w:rsidRDefault="007C037F" w:rsidP="007C037F">
      <w:pPr>
        <w:pBdr>
          <w:top w:val="single" w:sz="4" w:space="1" w:color="auto"/>
          <w:left w:val="single" w:sz="4" w:space="4" w:color="auto"/>
          <w:bottom w:val="single" w:sz="4" w:space="1" w:color="auto"/>
          <w:right w:val="single" w:sz="4" w:space="4" w:color="auto"/>
        </w:pBdr>
        <w:rPr>
          <w:i/>
        </w:rPr>
      </w:pPr>
      <w:r w:rsidRPr="00AD3664">
        <w:rPr>
          <w:i/>
        </w:rPr>
        <w:t>PIRSA will comply with the guideline for the adjustment of fees and charges that is annually issued by the SA Department of Treasury and Finance.</w:t>
      </w:r>
    </w:p>
    <w:p w:rsidR="007C037F" w:rsidRPr="00AD3664" w:rsidRDefault="007C037F" w:rsidP="007C037F">
      <w:pPr>
        <w:keepNext/>
        <w:keepLines/>
        <w:tabs>
          <w:tab w:val="left" w:pos="851"/>
        </w:tabs>
        <w:spacing w:before="0" w:after="240"/>
        <w:outlineLvl w:val="2"/>
        <w:rPr>
          <w:b/>
        </w:rPr>
      </w:pPr>
      <w:bookmarkStart w:id="23" w:name="_Toc514741813"/>
      <w:r w:rsidRPr="00AD3664">
        <w:rPr>
          <w:b/>
        </w:rPr>
        <w:t>Principle 10 – Transparency and accountability</w:t>
      </w:r>
      <w:bookmarkEnd w:id="23"/>
      <w:r w:rsidRPr="00AD3664">
        <w:rPr>
          <w:b/>
        </w:rPr>
        <w:t xml:space="preserve"> </w:t>
      </w:r>
    </w:p>
    <w:p w:rsidR="007C037F" w:rsidRPr="00AD3664" w:rsidRDefault="007C037F" w:rsidP="007C037F">
      <w:pPr>
        <w:spacing w:after="120"/>
      </w:pPr>
      <w:r w:rsidRPr="00AD3664">
        <w:t>Cost recovery arrangements will be decided through the engagement of relevant parties.</w:t>
      </w:r>
    </w:p>
    <w:p w:rsidR="007C037F" w:rsidRPr="00AD3664" w:rsidRDefault="007C037F" w:rsidP="007C037F">
      <w:pPr>
        <w:pBdr>
          <w:top w:val="single" w:sz="4" w:space="1" w:color="auto"/>
          <w:left w:val="single" w:sz="4" w:space="4" w:color="auto"/>
          <w:bottom w:val="single" w:sz="4" w:space="1" w:color="auto"/>
          <w:right w:val="single" w:sz="4" w:space="4" w:color="auto"/>
        </w:pBdr>
        <w:rPr>
          <w:i/>
        </w:rPr>
      </w:pPr>
      <w:r w:rsidRPr="00AD3664">
        <w:rPr>
          <w:i/>
        </w:rPr>
        <w:t xml:space="preserve">Engagement with stakeholders is an important part of the cost recovery process.  Those who will pay for an activity will have an interest in initial policy review and design of cost recovery arrangements and ensuring that charges are based on efficient practices.  </w:t>
      </w:r>
    </w:p>
    <w:p w:rsidR="007C037F" w:rsidRPr="00AD3664" w:rsidRDefault="007C037F" w:rsidP="007C037F">
      <w:pPr>
        <w:pBdr>
          <w:top w:val="single" w:sz="4" w:space="1" w:color="auto"/>
          <w:left w:val="single" w:sz="4" w:space="4" w:color="auto"/>
          <w:bottom w:val="single" w:sz="4" w:space="1" w:color="auto"/>
          <w:right w:val="single" w:sz="4" w:space="4" w:color="auto"/>
        </w:pBdr>
        <w:rPr>
          <w:i/>
        </w:rPr>
      </w:pPr>
      <w:r w:rsidRPr="00AD3664">
        <w:rPr>
          <w:i/>
        </w:rPr>
        <w:t>PIRSA will follow the key elements of cost recovery requirements stakeholder engagement principles outlined in clauses 30, 31 and 32 of the Australian Government Cost Recovery Guidelines (July 2014); together with the PIRSA Engagement Policy (GO P 020); and the Government of South Australia – Better Together: Principles of Engagement in all stages of cost recovery (see Principle 7).</w:t>
      </w:r>
    </w:p>
    <w:p w:rsidR="007C037F" w:rsidRPr="00AD3664" w:rsidRDefault="007C037F" w:rsidP="007C037F">
      <w:pPr>
        <w:pBdr>
          <w:top w:val="single" w:sz="4" w:space="1" w:color="auto"/>
          <w:left w:val="single" w:sz="4" w:space="4" w:color="auto"/>
          <w:bottom w:val="single" w:sz="4" w:space="1" w:color="auto"/>
          <w:right w:val="single" w:sz="4" w:space="4" w:color="auto"/>
        </w:pBdr>
        <w:rPr>
          <w:i/>
        </w:rPr>
      </w:pPr>
      <w:r w:rsidRPr="00AD3664">
        <w:rPr>
          <w:i/>
        </w:rPr>
        <w:t>PIRSA will document analyses conducted in initial policy review and design stages (</w:t>
      </w:r>
      <w:r w:rsidRPr="00836796">
        <w:rPr>
          <w:i/>
          <w:color w:val="000000" w:themeColor="text1"/>
        </w:rPr>
        <w:t xml:space="preserve">see Principle 8) </w:t>
      </w:r>
      <w:r w:rsidRPr="00AD3664">
        <w:rPr>
          <w:i/>
        </w:rPr>
        <w:t>and make information available to interested stakeholders through the PIRSA Internet website. Cost recovery charges should be simple to understand. Where practical the basis for charges should be transparent to stakeholders without compromising administrative efficiency or cost effectiveness. PIRSA Divisions will develop a Cost Recovery Implementation Statement (“CRIS”) where cost recovery is applied.</w:t>
      </w:r>
    </w:p>
    <w:p w:rsidR="007C037F" w:rsidRPr="00AD3664" w:rsidRDefault="007C037F" w:rsidP="007C037F">
      <w:pPr>
        <w:pBdr>
          <w:top w:val="single" w:sz="4" w:space="1" w:color="auto"/>
          <w:left w:val="single" w:sz="4" w:space="4" w:color="auto"/>
          <w:bottom w:val="single" w:sz="4" w:space="1" w:color="auto"/>
          <w:right w:val="single" w:sz="4" w:space="4" w:color="auto"/>
        </w:pBdr>
        <w:rPr>
          <w:i/>
        </w:rPr>
      </w:pPr>
      <w:r w:rsidRPr="00836796">
        <w:rPr>
          <w:i/>
          <w:color w:val="000000" w:themeColor="text1"/>
        </w:rPr>
        <w:t>PIRSA will also make publicly available service level delivery and cost performance information relevant to monitoring and reviewing cost recovery arrangements (see Principle 11 below</w:t>
      </w:r>
      <w:r w:rsidRPr="00AD3664">
        <w:rPr>
          <w:i/>
        </w:rPr>
        <w:t>) on the PIRSA Internet website.</w:t>
      </w:r>
    </w:p>
    <w:p w:rsidR="007C037F" w:rsidRPr="00AD3664" w:rsidRDefault="007C037F" w:rsidP="007C037F">
      <w:pPr>
        <w:pBdr>
          <w:top w:val="single" w:sz="4" w:space="1" w:color="auto"/>
          <w:left w:val="single" w:sz="4" w:space="4" w:color="auto"/>
          <w:bottom w:val="single" w:sz="4" w:space="1" w:color="auto"/>
          <w:right w:val="single" w:sz="4" w:space="4" w:color="auto"/>
        </w:pBdr>
        <w:rPr>
          <w:i/>
        </w:rPr>
      </w:pPr>
      <w:r w:rsidRPr="00AD3664">
        <w:rPr>
          <w:i/>
        </w:rPr>
        <w:t>Decision makers should be made aware of stakeholder engagement conducted, and views expressed, before approving new or amended cost recovery charges. Effective engagement should provide government with an understanding of the likely stakeholder reaction to proposals under consideration.</w:t>
      </w:r>
    </w:p>
    <w:p w:rsidR="007C037F" w:rsidRPr="00AD3664" w:rsidRDefault="007C037F" w:rsidP="007C037F">
      <w:pPr>
        <w:keepNext/>
        <w:keepLines/>
        <w:tabs>
          <w:tab w:val="left" w:pos="851"/>
        </w:tabs>
        <w:spacing w:before="0" w:after="240"/>
        <w:outlineLvl w:val="2"/>
        <w:rPr>
          <w:b/>
        </w:rPr>
      </w:pPr>
      <w:bookmarkStart w:id="24" w:name="_Principle_11_–"/>
      <w:bookmarkStart w:id="25" w:name="_Toc514741814"/>
      <w:bookmarkEnd w:id="24"/>
      <w:r w:rsidRPr="00AD3664">
        <w:rPr>
          <w:b/>
        </w:rPr>
        <w:t>Principle 11 – Monitor and review</w:t>
      </w:r>
      <w:bookmarkEnd w:id="25"/>
    </w:p>
    <w:p w:rsidR="007C037F" w:rsidRPr="00AD3664" w:rsidRDefault="007C037F" w:rsidP="007C037F">
      <w:pPr>
        <w:widowControl w:val="0"/>
        <w:autoSpaceDE w:val="0"/>
        <w:autoSpaceDN w:val="0"/>
        <w:adjustRightInd w:val="0"/>
        <w:spacing w:after="120"/>
      </w:pPr>
      <w:r w:rsidRPr="00AD3664">
        <w:t>PIRSA will periodically monitor and review, all significant cost recovery arrangements, in line with established cost recovery agreements and the triggers for review outlined within those agreements.  An independent verification of cost recovery processes will also be required at least every five years.</w:t>
      </w:r>
    </w:p>
    <w:p w:rsidR="007C037F" w:rsidRPr="00AD3664" w:rsidRDefault="007C037F" w:rsidP="00903702">
      <w:pPr>
        <w:pBdr>
          <w:top w:val="single" w:sz="4" w:space="1" w:color="auto"/>
          <w:left w:val="single" w:sz="4" w:space="4" w:color="auto"/>
          <w:bottom w:val="single" w:sz="4" w:space="0" w:color="auto"/>
          <w:right w:val="single" w:sz="4" w:space="4" w:color="auto"/>
        </w:pBdr>
        <w:rPr>
          <w:i/>
        </w:rPr>
      </w:pPr>
      <w:r w:rsidRPr="00AD3664">
        <w:rPr>
          <w:i/>
        </w:rPr>
        <w:t>There is a need to program scheduled reviews of the level of service delivery and costing models on a regular basis to keep up with change as costs alter over time. For various reasons industry service requirements may change over time and this may result in PIRSA not providing those services or providing them at a different level.</w:t>
      </w:r>
    </w:p>
    <w:p w:rsidR="00E85B24" w:rsidRPr="00AD3664" w:rsidRDefault="007C037F" w:rsidP="00903702">
      <w:pPr>
        <w:pBdr>
          <w:top w:val="single" w:sz="4" w:space="1" w:color="auto"/>
          <w:left w:val="single" w:sz="4" w:space="4" w:color="auto"/>
          <w:bottom w:val="single" w:sz="4" w:space="0" w:color="auto"/>
          <w:right w:val="single" w:sz="4" w:space="4" w:color="auto"/>
        </w:pBdr>
        <w:rPr>
          <w:i/>
        </w:rPr>
      </w:pPr>
      <w:r w:rsidRPr="00AD3664">
        <w:rPr>
          <w:i/>
        </w:rPr>
        <w:t>Costs will be monitored on an annual basis and altered according to market and SA Department of Treasury and Finance requirements. Cost recovery arrangements will be reviewed every five years or as directed by the Minister. All major reviews are to be referred to the PIRSA Finance Committee for consideration to ensure consistency with this policy and independent verification of the process undertaken by each PIRSA Division.</w:t>
      </w:r>
    </w:p>
    <w:p w:rsidR="002C1B00" w:rsidRPr="002C1B00" w:rsidRDefault="002C1B00" w:rsidP="004E66A7">
      <w:bookmarkStart w:id="26" w:name="_Toc35145202"/>
      <w:bookmarkStart w:id="27" w:name="_Toc112029967"/>
      <w:bookmarkStart w:id="28" w:name="_Toc137433836"/>
      <w:bookmarkStart w:id="29" w:name="_Toc139088324"/>
      <w:bookmarkEnd w:id="3"/>
      <w:bookmarkEnd w:id="11"/>
    </w:p>
    <w:p w:rsidR="006D343D" w:rsidRPr="00A238DA" w:rsidRDefault="006D343D" w:rsidP="00C3606C">
      <w:pPr>
        <w:pStyle w:val="Heading1"/>
        <w:rPr>
          <w:color w:val="000000" w:themeColor="text1"/>
        </w:rPr>
      </w:pPr>
      <w:bookmarkStart w:id="30" w:name="_Toc40709375"/>
      <w:r w:rsidRPr="00343454">
        <w:t xml:space="preserve">Roles and </w:t>
      </w:r>
      <w:r w:rsidR="006D1046" w:rsidRPr="00343454">
        <w:t>R</w:t>
      </w:r>
      <w:r w:rsidR="0042278E" w:rsidRPr="00343454">
        <w:t>esponsibilities</w:t>
      </w:r>
      <w:bookmarkEnd w:id="26"/>
      <w:bookmarkEnd w:id="27"/>
      <w:bookmarkEnd w:id="28"/>
      <w:bookmarkEnd w:id="29"/>
      <w:bookmarkEnd w:id="30"/>
    </w:p>
    <w:tbl>
      <w:tblPr>
        <w:tblW w:w="9072" w:type="dxa"/>
        <w:tblInd w:w="108" w:type="dxa"/>
        <w:tblBorders>
          <w:top w:val="single" w:sz="8" w:space="0" w:color="A6A6A6" w:themeColor="background1" w:themeShade="A6"/>
          <w:bottom w:val="single" w:sz="8" w:space="0" w:color="A6A6A6" w:themeColor="background1" w:themeShade="A6"/>
          <w:insideH w:val="single" w:sz="8" w:space="0" w:color="A6A6A6" w:themeColor="background1" w:themeShade="A6"/>
        </w:tblBorders>
        <w:tblLayout w:type="fixed"/>
        <w:tblLook w:val="0000" w:firstRow="0" w:lastRow="0" w:firstColumn="0" w:lastColumn="0" w:noHBand="0" w:noVBand="0"/>
        <w:tblCaption w:val="Roles and Responsibilities table"/>
        <w:tblDescription w:val="This table lists responsibilities assigned to specific roles relating to this PPGS document."/>
      </w:tblPr>
      <w:tblGrid>
        <w:gridCol w:w="1980"/>
        <w:gridCol w:w="7092"/>
      </w:tblGrid>
      <w:tr w:rsidR="0028223D" w:rsidRPr="0028223D" w:rsidTr="0096597E">
        <w:trPr>
          <w:trHeight w:hRule="exact" w:val="567"/>
          <w:tblHeader/>
        </w:trPr>
        <w:tc>
          <w:tcPr>
            <w:tcW w:w="1980" w:type="dxa"/>
            <w:shd w:val="clear" w:color="auto" w:fill="00427A"/>
          </w:tcPr>
          <w:p w:rsidR="008C0E2E" w:rsidRPr="0028223D" w:rsidRDefault="0042134B" w:rsidP="000160A8">
            <w:pPr>
              <w:pStyle w:val="Table1"/>
              <w:rPr>
                <w:b/>
                <w:color w:val="FFFFFF" w:themeColor="background1"/>
              </w:rPr>
            </w:pPr>
            <w:r w:rsidRPr="0028223D">
              <w:rPr>
                <w:b/>
                <w:color w:val="FFFFFF" w:themeColor="background1"/>
              </w:rPr>
              <w:t>Role</w:t>
            </w:r>
          </w:p>
        </w:tc>
        <w:tc>
          <w:tcPr>
            <w:tcW w:w="7092" w:type="dxa"/>
            <w:shd w:val="clear" w:color="auto" w:fill="00427A"/>
          </w:tcPr>
          <w:p w:rsidR="008C0E2E" w:rsidRPr="0028223D" w:rsidRDefault="0042134B" w:rsidP="000160A8">
            <w:pPr>
              <w:pStyle w:val="Table1"/>
              <w:rPr>
                <w:b/>
                <w:color w:val="FFFFFF" w:themeColor="background1"/>
              </w:rPr>
            </w:pPr>
            <w:r w:rsidRPr="0028223D">
              <w:rPr>
                <w:b/>
                <w:color w:val="FFFFFF" w:themeColor="background1"/>
              </w:rPr>
              <w:t>R</w:t>
            </w:r>
            <w:r w:rsidR="008C0E2E" w:rsidRPr="0028223D">
              <w:rPr>
                <w:b/>
                <w:color w:val="FFFFFF" w:themeColor="background1"/>
              </w:rPr>
              <w:t>esponsibilities</w:t>
            </w:r>
          </w:p>
        </w:tc>
      </w:tr>
      <w:tr w:rsidR="00303EBA" w:rsidRPr="00343454" w:rsidTr="0096597E">
        <w:tc>
          <w:tcPr>
            <w:tcW w:w="1980" w:type="dxa"/>
            <w:shd w:val="clear" w:color="auto" w:fill="auto"/>
          </w:tcPr>
          <w:p w:rsidR="00303EBA" w:rsidRPr="00562B5D" w:rsidRDefault="00562B5D" w:rsidP="001357D2">
            <w:pPr>
              <w:pStyle w:val="Table1"/>
            </w:pPr>
            <w:r w:rsidRPr="00562B5D">
              <w:t>Chief Executive</w:t>
            </w:r>
          </w:p>
        </w:tc>
        <w:tc>
          <w:tcPr>
            <w:tcW w:w="7092" w:type="dxa"/>
            <w:shd w:val="clear" w:color="auto" w:fill="auto"/>
          </w:tcPr>
          <w:p w:rsidR="002C1B00" w:rsidRPr="00E85B24" w:rsidRDefault="00562B5D" w:rsidP="001357D2">
            <w:pPr>
              <w:pStyle w:val="Table1"/>
            </w:pPr>
            <w:r w:rsidRPr="00E85B24">
              <w:t>Approving the policy</w:t>
            </w:r>
          </w:p>
          <w:p w:rsidR="00303EBA" w:rsidRPr="00E85B24" w:rsidRDefault="00303EBA" w:rsidP="001357D2">
            <w:pPr>
              <w:pStyle w:val="Table1"/>
            </w:pPr>
          </w:p>
        </w:tc>
      </w:tr>
      <w:tr w:rsidR="009417B1" w:rsidRPr="00343454" w:rsidTr="0096597E">
        <w:tblPrEx>
          <w:tblLook w:val="04A0" w:firstRow="1" w:lastRow="0" w:firstColumn="1" w:lastColumn="0" w:noHBand="0" w:noVBand="1"/>
        </w:tblPrEx>
        <w:tc>
          <w:tcPr>
            <w:tcW w:w="1980" w:type="dxa"/>
            <w:tcBorders>
              <w:top w:val="single" w:sz="8" w:space="0" w:color="A6A6A6" w:themeColor="background1" w:themeShade="A6"/>
              <w:left w:val="nil"/>
              <w:bottom w:val="single" w:sz="8" w:space="0" w:color="A6A6A6" w:themeColor="background1" w:themeShade="A6"/>
              <w:right w:val="nil"/>
            </w:tcBorders>
            <w:hideMark/>
          </w:tcPr>
          <w:p w:rsidR="009417B1" w:rsidRPr="00E85B24" w:rsidRDefault="00E85B24" w:rsidP="001357D2">
            <w:pPr>
              <w:pStyle w:val="Table1"/>
            </w:pPr>
            <w:r w:rsidRPr="00E85B24">
              <w:t>Executive Directors</w:t>
            </w:r>
          </w:p>
        </w:tc>
        <w:tc>
          <w:tcPr>
            <w:tcW w:w="7092" w:type="dxa"/>
            <w:tcBorders>
              <w:top w:val="single" w:sz="8" w:space="0" w:color="A6A6A6" w:themeColor="background1" w:themeShade="A6"/>
              <w:left w:val="nil"/>
              <w:bottom w:val="single" w:sz="8" w:space="0" w:color="A6A6A6" w:themeColor="background1" w:themeShade="A6"/>
              <w:right w:val="nil"/>
            </w:tcBorders>
            <w:hideMark/>
          </w:tcPr>
          <w:p w:rsidR="009417B1" w:rsidRPr="00E85B24" w:rsidRDefault="00E85B24" w:rsidP="001357D2">
            <w:pPr>
              <w:pStyle w:val="Table1"/>
            </w:pPr>
            <w:r w:rsidRPr="00E85B24">
              <w:t>Applying the policy to divisional programs.</w:t>
            </w:r>
          </w:p>
          <w:p w:rsidR="00E85B24" w:rsidRPr="00E85B24" w:rsidRDefault="00E85B24" w:rsidP="001357D2">
            <w:pPr>
              <w:pStyle w:val="Table1"/>
            </w:pPr>
            <w:r w:rsidRPr="00E85B24">
              <w:t>Providing policy advice and assistance, including interpreting policy requirements.</w:t>
            </w:r>
          </w:p>
        </w:tc>
      </w:tr>
      <w:tr w:rsidR="002C1B00" w:rsidRPr="00343454" w:rsidTr="002C1B00">
        <w:tblPrEx>
          <w:tblLook w:val="04A0" w:firstRow="1" w:lastRow="0" w:firstColumn="1" w:lastColumn="0" w:noHBand="0" w:noVBand="1"/>
        </w:tblPrEx>
        <w:tc>
          <w:tcPr>
            <w:tcW w:w="1980" w:type="dxa"/>
            <w:tcBorders>
              <w:top w:val="single" w:sz="8" w:space="0" w:color="A6A6A6" w:themeColor="background1" w:themeShade="A6"/>
              <w:left w:val="nil"/>
              <w:bottom w:val="single" w:sz="8" w:space="0" w:color="A6A6A6" w:themeColor="background1" w:themeShade="A6"/>
              <w:right w:val="nil"/>
            </w:tcBorders>
            <w:shd w:val="clear" w:color="auto" w:fill="auto"/>
            <w:hideMark/>
          </w:tcPr>
          <w:p w:rsidR="002C1B00" w:rsidRPr="00343454" w:rsidRDefault="00E85B24" w:rsidP="001357D2">
            <w:pPr>
              <w:pStyle w:val="Table1"/>
            </w:pPr>
            <w:bookmarkStart w:id="31" w:name="_Toc35145206"/>
            <w:bookmarkStart w:id="32" w:name="_Toc112029971"/>
            <w:bookmarkStart w:id="33" w:name="_Toc137433838"/>
            <w:bookmarkStart w:id="34" w:name="_Toc139088326"/>
            <w:r>
              <w:t>PIRSA Finance Committee</w:t>
            </w:r>
          </w:p>
        </w:tc>
        <w:tc>
          <w:tcPr>
            <w:tcW w:w="7092" w:type="dxa"/>
            <w:tcBorders>
              <w:top w:val="single" w:sz="8" w:space="0" w:color="A6A6A6" w:themeColor="background1" w:themeShade="A6"/>
              <w:left w:val="nil"/>
              <w:bottom w:val="single" w:sz="8" w:space="0" w:color="A6A6A6" w:themeColor="background1" w:themeShade="A6"/>
              <w:right w:val="nil"/>
            </w:tcBorders>
            <w:shd w:val="clear" w:color="auto" w:fill="auto"/>
            <w:hideMark/>
          </w:tcPr>
          <w:p w:rsidR="00E85B24" w:rsidRPr="00E85B24" w:rsidRDefault="00E85B24" w:rsidP="001357D2">
            <w:pPr>
              <w:pStyle w:val="Table1"/>
            </w:pPr>
            <w:r w:rsidRPr="00E85B24">
              <w:t>Checking consistency across PIRSA divisions for new cost recovery proposals and changes in proposals to ensure alignment with this policy.</w:t>
            </w:r>
          </w:p>
          <w:p w:rsidR="00E85B24" w:rsidRPr="00E85B24" w:rsidRDefault="00E85B24" w:rsidP="001357D2">
            <w:pPr>
              <w:pStyle w:val="Table1"/>
            </w:pPr>
            <w:r w:rsidRPr="00E85B24">
              <w:t>Providing policy advice and assistance to PIRSA divisions on cost recovery methodology.</w:t>
            </w:r>
          </w:p>
          <w:p w:rsidR="00E85B24" w:rsidRPr="00E85B24" w:rsidRDefault="00E85B24" w:rsidP="001357D2">
            <w:pPr>
              <w:pStyle w:val="Table1"/>
            </w:pPr>
            <w:r w:rsidRPr="00E85B24">
              <w:t>Providing policy advice and assistance to PIRSA divisions in their understanding of and ability to apply the key policy principles for all products and services within scope.</w:t>
            </w:r>
          </w:p>
          <w:p w:rsidR="002C1B00" w:rsidRPr="00E85B24" w:rsidRDefault="00E85B24" w:rsidP="001357D2">
            <w:pPr>
              <w:pStyle w:val="Table1"/>
            </w:pPr>
            <w:r w:rsidRPr="00E85B24">
              <w:t>Reviewing the policy, and providing advice to PIRSA Executive on progress and potential improvements to the policy.</w:t>
            </w:r>
          </w:p>
        </w:tc>
      </w:tr>
      <w:tr w:rsidR="00B42177" w:rsidRPr="00E85B24" w:rsidTr="00AD3664">
        <w:tc>
          <w:tcPr>
            <w:tcW w:w="1980" w:type="dxa"/>
            <w:shd w:val="clear" w:color="auto" w:fill="auto"/>
          </w:tcPr>
          <w:p w:rsidR="00B42177" w:rsidRPr="00562B5D" w:rsidRDefault="00B42177" w:rsidP="001357D2">
            <w:pPr>
              <w:pStyle w:val="Table1"/>
            </w:pPr>
            <w:r>
              <w:t>Chair, PIRSA Finance Committee</w:t>
            </w:r>
          </w:p>
        </w:tc>
        <w:tc>
          <w:tcPr>
            <w:tcW w:w="7092" w:type="dxa"/>
            <w:shd w:val="clear" w:color="auto" w:fill="auto"/>
          </w:tcPr>
          <w:p w:rsidR="00B42177" w:rsidRPr="00E85B24" w:rsidRDefault="00B42177" w:rsidP="001357D2">
            <w:pPr>
              <w:pStyle w:val="Table1"/>
            </w:pPr>
            <w:r w:rsidRPr="00E85B24">
              <w:rPr>
                <w:rFonts w:cs="Times New Roman"/>
              </w:rPr>
              <w:t>Ongoing management of the policy (including feedback, review, document and records management requirements, updating policy versions and removal of revoked policies).</w:t>
            </w:r>
          </w:p>
          <w:p w:rsidR="00B42177" w:rsidRPr="00E85B24" w:rsidRDefault="00B42177" w:rsidP="001357D2">
            <w:pPr>
              <w:pStyle w:val="Table1"/>
            </w:pPr>
          </w:p>
        </w:tc>
      </w:tr>
    </w:tbl>
    <w:p w:rsidR="006D343D" w:rsidRPr="00A238DA" w:rsidRDefault="006D343D" w:rsidP="00576434">
      <w:pPr>
        <w:pStyle w:val="Heading1"/>
        <w:spacing w:before="360"/>
        <w:rPr>
          <w:color w:val="000000" w:themeColor="text1"/>
        </w:rPr>
      </w:pPr>
      <w:bookmarkStart w:id="35" w:name="_Toc40709376"/>
      <w:r w:rsidRPr="00343454">
        <w:t>D</w:t>
      </w:r>
      <w:r w:rsidR="006D1046" w:rsidRPr="00343454">
        <w:t>efinitions</w:t>
      </w:r>
      <w:bookmarkEnd w:id="31"/>
      <w:bookmarkEnd w:id="32"/>
      <w:bookmarkEnd w:id="33"/>
      <w:bookmarkEnd w:id="34"/>
      <w:bookmarkEnd w:id="35"/>
    </w:p>
    <w:tbl>
      <w:tblPr>
        <w:tblW w:w="9072" w:type="dxa"/>
        <w:tblInd w:w="108" w:type="dxa"/>
        <w:tblBorders>
          <w:top w:val="single" w:sz="8" w:space="0" w:color="A6A6A6" w:themeColor="background1" w:themeShade="A6"/>
          <w:bottom w:val="single" w:sz="8" w:space="0" w:color="A6A6A6" w:themeColor="background1" w:themeShade="A6"/>
          <w:insideH w:val="single" w:sz="8" w:space="0" w:color="A6A6A6" w:themeColor="background1" w:themeShade="A6"/>
        </w:tblBorders>
        <w:tblLayout w:type="fixed"/>
        <w:tblLook w:val="0000" w:firstRow="0" w:lastRow="0" w:firstColumn="0" w:lastColumn="0" w:noHBand="0" w:noVBand="0"/>
        <w:tblCaption w:val="Definitions table"/>
        <w:tblDescription w:val="This table lists terms, acronyms or abbreviations used within the PPGS and their related meanings or definitions."/>
      </w:tblPr>
      <w:tblGrid>
        <w:gridCol w:w="1980"/>
        <w:gridCol w:w="7092"/>
      </w:tblGrid>
      <w:tr w:rsidR="0028223D" w:rsidRPr="0028223D" w:rsidTr="00E85B24">
        <w:trPr>
          <w:tblHeader/>
        </w:trPr>
        <w:tc>
          <w:tcPr>
            <w:tcW w:w="1980" w:type="dxa"/>
            <w:shd w:val="clear" w:color="auto" w:fill="00427A"/>
          </w:tcPr>
          <w:p w:rsidR="008C0E2E" w:rsidRPr="0028223D" w:rsidRDefault="008C0E2E" w:rsidP="000160A8">
            <w:pPr>
              <w:pStyle w:val="Table1"/>
              <w:rPr>
                <w:b/>
                <w:color w:val="FFFFFF" w:themeColor="background1"/>
              </w:rPr>
            </w:pPr>
            <w:r w:rsidRPr="0028223D">
              <w:rPr>
                <w:b/>
                <w:color w:val="FFFFFF" w:themeColor="background1"/>
              </w:rPr>
              <w:t>Term</w:t>
            </w:r>
          </w:p>
        </w:tc>
        <w:tc>
          <w:tcPr>
            <w:tcW w:w="7092" w:type="dxa"/>
            <w:shd w:val="clear" w:color="auto" w:fill="00427A"/>
          </w:tcPr>
          <w:p w:rsidR="008C0E2E" w:rsidRPr="0028223D" w:rsidRDefault="008C0E2E" w:rsidP="000160A8">
            <w:pPr>
              <w:pStyle w:val="Table1"/>
              <w:rPr>
                <w:b/>
                <w:color w:val="FFFFFF" w:themeColor="background1"/>
              </w:rPr>
            </w:pPr>
            <w:r w:rsidRPr="0028223D">
              <w:rPr>
                <w:b/>
                <w:color w:val="FFFFFF" w:themeColor="background1"/>
              </w:rPr>
              <w:t>Meaning</w:t>
            </w:r>
          </w:p>
        </w:tc>
      </w:tr>
      <w:tr w:rsidR="00477A37" w:rsidRPr="00343454" w:rsidTr="00E85B24">
        <w:tc>
          <w:tcPr>
            <w:tcW w:w="1980" w:type="dxa"/>
          </w:tcPr>
          <w:p w:rsidR="00EA77C4" w:rsidRPr="00B75525" w:rsidRDefault="00A91740" w:rsidP="001357D2">
            <w:pPr>
              <w:pStyle w:val="Table1"/>
            </w:pPr>
            <w:r w:rsidRPr="00B75525">
              <w:t>Avoidable cost</w:t>
            </w:r>
          </w:p>
        </w:tc>
        <w:tc>
          <w:tcPr>
            <w:tcW w:w="7092" w:type="dxa"/>
          </w:tcPr>
          <w:p w:rsidR="00EA77C4" w:rsidRPr="00B75525" w:rsidRDefault="00A91740" w:rsidP="001357D2">
            <w:pPr>
              <w:pStyle w:val="Table1"/>
            </w:pPr>
            <w:r w:rsidRPr="00B75525">
              <w:t>Those costs that would be avoided if an operation were suspended or closed down and the supply of an output, good, service or activity were ceased.</w:t>
            </w:r>
          </w:p>
        </w:tc>
      </w:tr>
      <w:tr w:rsidR="00477A37" w:rsidRPr="00A91740" w:rsidTr="00E85B24">
        <w:tc>
          <w:tcPr>
            <w:tcW w:w="1980" w:type="dxa"/>
          </w:tcPr>
          <w:p w:rsidR="00EA77C4" w:rsidRPr="00B75525" w:rsidRDefault="00A91740" w:rsidP="001357D2">
            <w:pPr>
              <w:pStyle w:val="Table1"/>
            </w:pPr>
            <w:r w:rsidRPr="00B75525">
              <w:t>Cost recovery charge</w:t>
            </w:r>
          </w:p>
        </w:tc>
        <w:tc>
          <w:tcPr>
            <w:tcW w:w="7092" w:type="dxa"/>
          </w:tcPr>
          <w:p w:rsidR="00EA77C4" w:rsidRPr="00B75525" w:rsidRDefault="0027190D" w:rsidP="001357D2">
            <w:pPr>
              <w:pStyle w:val="Table1"/>
            </w:pPr>
            <w:r w:rsidRPr="00B75525">
              <w:t>Modes costs that would be avoided if an operation were suspended or closed down and the supply of an output, goods service or activity were ceased.</w:t>
            </w:r>
          </w:p>
          <w:p w:rsidR="00F6778E" w:rsidRPr="00B75525" w:rsidRDefault="00F6778E" w:rsidP="001357D2">
            <w:pPr>
              <w:pStyle w:val="Table1"/>
            </w:pPr>
            <w:r w:rsidRPr="00B75525">
              <w:t>Fees for goods and services.</w:t>
            </w:r>
          </w:p>
          <w:p w:rsidR="00F6778E" w:rsidRPr="00B75525" w:rsidRDefault="00F6778E" w:rsidP="001357D2">
            <w:pPr>
              <w:pStyle w:val="Table1"/>
            </w:pPr>
            <w:r w:rsidRPr="00B75525">
              <w:t>Levies or group based charges.</w:t>
            </w:r>
          </w:p>
        </w:tc>
      </w:tr>
      <w:tr w:rsidR="00A91740" w:rsidRPr="00343454" w:rsidTr="00AD3664">
        <w:tc>
          <w:tcPr>
            <w:tcW w:w="1980" w:type="dxa"/>
          </w:tcPr>
          <w:p w:rsidR="00A91740" w:rsidRPr="00B75525" w:rsidRDefault="00AA2E22" w:rsidP="001357D2">
            <w:pPr>
              <w:pStyle w:val="Table1"/>
            </w:pPr>
            <w:bookmarkStart w:id="36" w:name="_Toc137433839"/>
            <w:bookmarkStart w:id="37" w:name="_Toc139088327"/>
            <w:r w:rsidRPr="00B75525">
              <w:t>Cost reflective pricing</w:t>
            </w:r>
          </w:p>
        </w:tc>
        <w:tc>
          <w:tcPr>
            <w:tcW w:w="7092" w:type="dxa"/>
          </w:tcPr>
          <w:p w:rsidR="00A91740" w:rsidRPr="00B75525" w:rsidRDefault="00AA2E22" w:rsidP="001357D2">
            <w:pPr>
              <w:pStyle w:val="Table1"/>
            </w:pPr>
            <w:r w:rsidRPr="00B75525">
              <w:t>Involves calculation of the cost of outputs adjusted for any competitive advantages due to government ownership and setting a price for the output using the competitively neutral cost as a starting point.</w:t>
            </w:r>
          </w:p>
        </w:tc>
      </w:tr>
      <w:tr w:rsidR="00A91740" w:rsidRPr="00343454" w:rsidTr="00AD3664">
        <w:tc>
          <w:tcPr>
            <w:tcW w:w="1980" w:type="dxa"/>
          </w:tcPr>
          <w:p w:rsidR="00A91740" w:rsidRPr="00B75525" w:rsidRDefault="00AA2E22" w:rsidP="001357D2">
            <w:pPr>
              <w:pStyle w:val="Table1"/>
            </w:pPr>
            <w:r w:rsidRPr="00B75525">
              <w:t>Direct costs</w:t>
            </w:r>
          </w:p>
        </w:tc>
        <w:tc>
          <w:tcPr>
            <w:tcW w:w="7092" w:type="dxa"/>
          </w:tcPr>
          <w:p w:rsidR="00A91740" w:rsidRPr="00B75525" w:rsidRDefault="00AA2E22" w:rsidP="001357D2">
            <w:pPr>
              <w:pStyle w:val="Table1"/>
            </w:pPr>
            <w:r w:rsidRPr="00B75525">
              <w:t>Costs which are solely consumed by the activity to which they are attributed, e.g. labour, materials and capital used to produce the goods and services or administer regulation.</w:t>
            </w:r>
          </w:p>
        </w:tc>
      </w:tr>
      <w:tr w:rsidR="00AA2E22" w:rsidRPr="00343454" w:rsidTr="00AD3664">
        <w:tc>
          <w:tcPr>
            <w:tcW w:w="1980" w:type="dxa"/>
          </w:tcPr>
          <w:p w:rsidR="00AA2E22" w:rsidRPr="00B75525" w:rsidRDefault="00AA2E22" w:rsidP="001357D2">
            <w:pPr>
              <w:pStyle w:val="Table1"/>
            </w:pPr>
            <w:r w:rsidRPr="00B75525">
              <w:t>Economic efficiency</w:t>
            </w:r>
          </w:p>
        </w:tc>
        <w:tc>
          <w:tcPr>
            <w:tcW w:w="7092" w:type="dxa"/>
            <w:tcBorders>
              <w:top w:val="single" w:sz="4" w:space="0" w:color="auto"/>
              <w:bottom w:val="single" w:sz="8" w:space="0" w:color="auto"/>
            </w:tcBorders>
          </w:tcPr>
          <w:p w:rsidR="00AA2E22" w:rsidRPr="00B75525" w:rsidRDefault="00AA2E22" w:rsidP="001357D2">
            <w:pPr>
              <w:pStyle w:val="Table1"/>
            </w:pPr>
            <w:r w:rsidRPr="00B75525">
              <w:t xml:space="preserve">Contributing to community well-being by </w:t>
            </w:r>
            <w:r w:rsidRPr="00B75525">
              <w:rPr>
                <w:lang w:eastAsia="en-AU"/>
              </w:rPr>
              <w:t xml:space="preserve">ensuring resources across the economy are directed to their most productive uses (allocative efficiency) and ensuring outputs are produced at least cost (technical efficiency). Under conditions of market failure, the characteristics of a market are such that its </w:t>
            </w:r>
            <w:r w:rsidRPr="00B75525">
              <w:t>unfettered operation may not lead to the most efficient outcome possible (see also ‘</w:t>
            </w:r>
            <w:r w:rsidRPr="001357D2">
              <w:t>Public good</w:t>
            </w:r>
            <w:r w:rsidRPr="00B75525">
              <w:t>’ and ‘</w:t>
            </w:r>
            <w:r w:rsidRPr="001357D2">
              <w:t>Spillover</w:t>
            </w:r>
            <w:r w:rsidRPr="00B75525">
              <w:t>’).</w:t>
            </w:r>
          </w:p>
        </w:tc>
      </w:tr>
      <w:tr w:rsidR="00AA2E22" w:rsidRPr="00343454" w:rsidTr="00AD3664">
        <w:tc>
          <w:tcPr>
            <w:tcW w:w="1980" w:type="dxa"/>
          </w:tcPr>
          <w:p w:rsidR="00AA2E22" w:rsidRPr="00B75525" w:rsidRDefault="00AA2E22" w:rsidP="001357D2">
            <w:pPr>
              <w:pStyle w:val="Table1"/>
            </w:pPr>
            <w:r w:rsidRPr="00B75525">
              <w:t>Fee for service</w:t>
            </w:r>
          </w:p>
        </w:tc>
        <w:tc>
          <w:tcPr>
            <w:tcW w:w="7092" w:type="dxa"/>
            <w:tcBorders>
              <w:top w:val="single" w:sz="4" w:space="0" w:color="auto"/>
              <w:bottom w:val="single" w:sz="8" w:space="0" w:color="auto"/>
            </w:tcBorders>
          </w:tcPr>
          <w:p w:rsidR="00AA2E22" w:rsidRPr="00B75525" w:rsidRDefault="00AA2E22" w:rsidP="001357D2">
            <w:pPr>
              <w:pStyle w:val="Table1"/>
              <w:rPr>
                <w:lang w:eastAsia="en-AU"/>
              </w:rPr>
            </w:pPr>
            <w:r w:rsidRPr="00B75525">
              <w:rPr>
                <w:lang w:eastAsia="en-AU"/>
              </w:rPr>
              <w:t>A fee for service has three main elements:</w:t>
            </w:r>
          </w:p>
          <w:p w:rsidR="00AA2E22" w:rsidRPr="00B75525" w:rsidRDefault="00AA2E22" w:rsidP="001357D2">
            <w:pPr>
              <w:pStyle w:val="Table1"/>
              <w:rPr>
                <w:lang w:eastAsia="en-AU"/>
              </w:rPr>
            </w:pPr>
            <w:r w:rsidRPr="00B75525">
              <w:rPr>
                <w:lang w:eastAsia="en-AU"/>
              </w:rPr>
              <w:t>an identifiable service</w:t>
            </w:r>
          </w:p>
          <w:p w:rsidR="00AA2E22" w:rsidRPr="00B75525" w:rsidRDefault="00AA2E22" w:rsidP="001357D2">
            <w:pPr>
              <w:pStyle w:val="Table1"/>
              <w:rPr>
                <w:lang w:eastAsia="en-AU"/>
              </w:rPr>
            </w:pPr>
            <w:r w:rsidRPr="00B75525">
              <w:rPr>
                <w:lang w:eastAsia="en-AU"/>
              </w:rPr>
              <w:t>rendered to the person paying</w:t>
            </w:r>
          </w:p>
          <w:p w:rsidR="00AA2E22" w:rsidRPr="00B75525" w:rsidRDefault="00AA2E22" w:rsidP="001357D2">
            <w:pPr>
              <w:pStyle w:val="Table1"/>
              <w:rPr>
                <w:lang w:eastAsia="en-AU"/>
              </w:rPr>
            </w:pPr>
            <w:r w:rsidRPr="00B75525">
              <w:rPr>
                <w:lang w:eastAsia="en-AU"/>
              </w:rPr>
              <w:t>the fee charged is related to the cost of providing the service to the user group (program) as a whole.</w:t>
            </w:r>
          </w:p>
          <w:p w:rsidR="00AA2E22" w:rsidRPr="00B75525" w:rsidRDefault="00AA2E22" w:rsidP="001357D2">
            <w:pPr>
              <w:pStyle w:val="Table1"/>
            </w:pPr>
            <w:r w:rsidRPr="00B75525">
              <w:rPr>
                <w:lang w:eastAsia="en-AU"/>
              </w:rPr>
              <w:t>A ‘user group’ in the case of the Plant Health Market Access and Certification Program for example, would be food importers or exporters.  Audit services charged by Plant Health Operations to individual businesses would be an example of a fee for service.</w:t>
            </w:r>
          </w:p>
        </w:tc>
      </w:tr>
      <w:tr w:rsidR="00AA2E22" w:rsidRPr="00343454" w:rsidTr="00AD3664">
        <w:tc>
          <w:tcPr>
            <w:tcW w:w="1980" w:type="dxa"/>
          </w:tcPr>
          <w:p w:rsidR="00AA2E22" w:rsidRPr="00B75525" w:rsidRDefault="00D4377E" w:rsidP="001357D2">
            <w:pPr>
              <w:pStyle w:val="Table1"/>
            </w:pPr>
            <w:r w:rsidRPr="00B75525">
              <w:t>Fully distributed cost (FDC)</w:t>
            </w:r>
          </w:p>
        </w:tc>
        <w:tc>
          <w:tcPr>
            <w:tcW w:w="7092" w:type="dxa"/>
          </w:tcPr>
          <w:p w:rsidR="00AA2E22" w:rsidRPr="00B75525" w:rsidRDefault="00D4377E" w:rsidP="001357D2">
            <w:pPr>
              <w:pStyle w:val="Table1"/>
            </w:pPr>
            <w:r w:rsidRPr="00B75525">
              <w:rPr>
                <w:iCs/>
              </w:rPr>
              <w:t>Involves allocating the total costs incurred by an agency in producing an output, good, service or activity. This includes all direct costs, indirect costs and overheads.</w:t>
            </w:r>
          </w:p>
        </w:tc>
      </w:tr>
      <w:tr w:rsidR="00AA2E22" w:rsidRPr="00343454" w:rsidTr="00AD3664">
        <w:tc>
          <w:tcPr>
            <w:tcW w:w="1980" w:type="dxa"/>
          </w:tcPr>
          <w:p w:rsidR="00AA2E22" w:rsidRPr="00B75525" w:rsidRDefault="00D4377E" w:rsidP="001357D2">
            <w:pPr>
              <w:pStyle w:val="Table1"/>
            </w:pPr>
            <w:r w:rsidRPr="00B75525">
              <w:t>Incremental cost</w:t>
            </w:r>
          </w:p>
        </w:tc>
        <w:tc>
          <w:tcPr>
            <w:tcW w:w="7092" w:type="dxa"/>
          </w:tcPr>
          <w:p w:rsidR="00AA2E22" w:rsidRPr="00B75525" w:rsidRDefault="00D4377E" w:rsidP="001357D2">
            <w:pPr>
              <w:pStyle w:val="Table1"/>
            </w:pPr>
            <w:r w:rsidRPr="00B75525">
              <w:rPr>
                <w:lang w:eastAsia="en-AU"/>
              </w:rPr>
              <w:t>The increase in costs attributable to the production of a particular type of product, which could include capital or overhead costs - sometimes used as a proxy for the marginal cost of producing an additional unit of that product.</w:t>
            </w:r>
          </w:p>
        </w:tc>
      </w:tr>
      <w:tr w:rsidR="00D4377E" w:rsidRPr="00343454" w:rsidTr="00AD3664">
        <w:tc>
          <w:tcPr>
            <w:tcW w:w="1980" w:type="dxa"/>
          </w:tcPr>
          <w:p w:rsidR="00D4377E" w:rsidRPr="00B75525" w:rsidRDefault="00D4377E" w:rsidP="001357D2">
            <w:pPr>
              <w:pStyle w:val="Table1"/>
            </w:pPr>
            <w:r w:rsidRPr="00B75525">
              <w:t>Indirect costs</w:t>
            </w:r>
          </w:p>
        </w:tc>
        <w:tc>
          <w:tcPr>
            <w:tcW w:w="7092" w:type="dxa"/>
            <w:tcBorders>
              <w:top w:val="single" w:sz="4" w:space="0" w:color="auto"/>
              <w:bottom w:val="single" w:sz="8" w:space="0" w:color="auto"/>
            </w:tcBorders>
          </w:tcPr>
          <w:p w:rsidR="00D4377E" w:rsidRPr="00B75525" w:rsidRDefault="00D4377E" w:rsidP="001357D2">
            <w:pPr>
              <w:pStyle w:val="Table1"/>
            </w:pPr>
            <w:r w:rsidRPr="00B75525">
              <w:t>Costs which are not able to be directly allocated to a particular activity (also known as overheads), e.g. financial services, human resources, IT services, records and information management services, including capital consumed in these activities.</w:t>
            </w:r>
          </w:p>
        </w:tc>
      </w:tr>
      <w:tr w:rsidR="00D4377E" w:rsidRPr="00343454" w:rsidTr="00AD3664">
        <w:tc>
          <w:tcPr>
            <w:tcW w:w="1980" w:type="dxa"/>
          </w:tcPr>
          <w:p w:rsidR="00D4377E" w:rsidRPr="00B75525" w:rsidRDefault="00D4377E" w:rsidP="001357D2">
            <w:pPr>
              <w:pStyle w:val="Table1"/>
            </w:pPr>
            <w:r w:rsidRPr="00B75525">
              <w:t>Information activities</w:t>
            </w:r>
          </w:p>
        </w:tc>
        <w:tc>
          <w:tcPr>
            <w:tcW w:w="7092" w:type="dxa"/>
          </w:tcPr>
          <w:p w:rsidR="00D4377E" w:rsidRPr="00B75525" w:rsidRDefault="00D4377E" w:rsidP="001357D2">
            <w:pPr>
              <w:pStyle w:val="Table1"/>
            </w:pPr>
            <w:r w:rsidRPr="00B75525">
              <w:t xml:space="preserve">Activities involved in collecting, compiling and disseminating </w:t>
            </w:r>
            <w:r w:rsidRPr="001357D2">
              <w:rPr>
                <w:color w:val="000000" w:themeColor="text1"/>
              </w:rPr>
              <w:t>information or any other activity of a non-regulatory nature (see also ‘Regulatory activities’).</w:t>
            </w:r>
          </w:p>
        </w:tc>
      </w:tr>
      <w:tr w:rsidR="00D4377E" w:rsidRPr="00343454" w:rsidTr="00AD3664">
        <w:tc>
          <w:tcPr>
            <w:tcW w:w="1980" w:type="dxa"/>
          </w:tcPr>
          <w:p w:rsidR="00D4377E" w:rsidRPr="00B75525" w:rsidRDefault="00D4377E" w:rsidP="001357D2">
            <w:pPr>
              <w:pStyle w:val="Table1"/>
            </w:pPr>
            <w:r w:rsidRPr="00B75525">
              <w:t>Marginal cost</w:t>
            </w:r>
          </w:p>
        </w:tc>
        <w:tc>
          <w:tcPr>
            <w:tcW w:w="7092" w:type="dxa"/>
          </w:tcPr>
          <w:p w:rsidR="00D4377E" w:rsidRPr="00B75525" w:rsidRDefault="00D4377E" w:rsidP="001357D2">
            <w:pPr>
              <w:pStyle w:val="Table1"/>
            </w:pPr>
            <w:r w:rsidRPr="00B75525">
              <w:t>Increase in costs attributable to the production of an additional unit of a good or service,</w:t>
            </w:r>
          </w:p>
        </w:tc>
      </w:tr>
      <w:tr w:rsidR="00D4377E" w:rsidRPr="00343454" w:rsidTr="00AD3664">
        <w:tc>
          <w:tcPr>
            <w:tcW w:w="1980" w:type="dxa"/>
          </w:tcPr>
          <w:p w:rsidR="00D4377E" w:rsidRPr="00B75525" w:rsidRDefault="00D4377E" w:rsidP="001357D2">
            <w:pPr>
              <w:pStyle w:val="Table1"/>
            </w:pPr>
            <w:r w:rsidRPr="00B75525">
              <w:t>Public good</w:t>
            </w:r>
          </w:p>
        </w:tc>
        <w:tc>
          <w:tcPr>
            <w:tcW w:w="7092" w:type="dxa"/>
          </w:tcPr>
          <w:p w:rsidR="00D4377E" w:rsidRPr="00B75525" w:rsidRDefault="006A0468" w:rsidP="001357D2">
            <w:pPr>
              <w:pStyle w:val="Table1"/>
            </w:pPr>
            <w:r w:rsidRPr="00B75525">
              <w:rPr>
                <w:lang w:eastAsia="en-AU"/>
              </w:rPr>
              <w:t>A good or service where provision for one person means the good or service is available to all people at no additional cost. Public goods are said to be non-rival and non-excludable. These goods are unlikely to be provided to a sufficient extent by the private market.</w:t>
            </w:r>
          </w:p>
        </w:tc>
      </w:tr>
      <w:tr w:rsidR="00D4377E" w:rsidRPr="00343454" w:rsidTr="00AD3664">
        <w:tc>
          <w:tcPr>
            <w:tcW w:w="1980" w:type="dxa"/>
          </w:tcPr>
          <w:p w:rsidR="00D4377E" w:rsidRPr="00B75525" w:rsidRDefault="00211992" w:rsidP="001357D2">
            <w:pPr>
              <w:pStyle w:val="Table1"/>
            </w:pPr>
            <w:r w:rsidRPr="00B75525">
              <w:t>Regulatory activities</w:t>
            </w:r>
          </w:p>
        </w:tc>
        <w:tc>
          <w:tcPr>
            <w:tcW w:w="7092" w:type="dxa"/>
          </w:tcPr>
          <w:p w:rsidR="00D4377E" w:rsidRPr="001357D2" w:rsidRDefault="00211992" w:rsidP="001357D2">
            <w:pPr>
              <w:pStyle w:val="Table1"/>
            </w:pPr>
            <w:r w:rsidRPr="001357D2">
              <w:rPr>
                <w:color w:val="000000" w:themeColor="text1"/>
              </w:rPr>
              <w:t>Activities involved in administering regulations (see also ‘Information activities’).</w:t>
            </w:r>
          </w:p>
        </w:tc>
      </w:tr>
      <w:tr w:rsidR="00211992" w:rsidRPr="00211992" w:rsidTr="00AD3664">
        <w:tc>
          <w:tcPr>
            <w:tcW w:w="1980" w:type="dxa"/>
          </w:tcPr>
          <w:p w:rsidR="00211992" w:rsidRPr="00B75525" w:rsidRDefault="00211992" w:rsidP="001357D2">
            <w:pPr>
              <w:pStyle w:val="Table1"/>
            </w:pPr>
            <w:r w:rsidRPr="00B75525">
              <w:t>Spillover</w:t>
            </w:r>
          </w:p>
        </w:tc>
        <w:tc>
          <w:tcPr>
            <w:tcW w:w="7092" w:type="dxa"/>
            <w:tcBorders>
              <w:top w:val="single" w:sz="4" w:space="0" w:color="auto"/>
              <w:bottom w:val="single" w:sz="8" w:space="0" w:color="auto"/>
            </w:tcBorders>
          </w:tcPr>
          <w:p w:rsidR="00211992" w:rsidRPr="00B75525" w:rsidRDefault="00211992" w:rsidP="001357D2">
            <w:pPr>
              <w:pStyle w:val="Table1"/>
            </w:pPr>
            <w:r w:rsidRPr="00B75525">
              <w:rPr>
                <w:lang w:eastAsia="en-AU"/>
              </w:rPr>
              <w:t>A situation where a decision to produce or consume has positive or negative welfare consequences for those not party to the decision.</w:t>
            </w:r>
          </w:p>
        </w:tc>
      </w:tr>
    </w:tbl>
    <w:p w:rsidR="006D343D" w:rsidRPr="00A238DA" w:rsidRDefault="009615B4" w:rsidP="002C286A">
      <w:pPr>
        <w:pStyle w:val="Heading1"/>
        <w:spacing w:before="360"/>
        <w:rPr>
          <w:color w:val="000000" w:themeColor="text1"/>
        </w:rPr>
      </w:pPr>
      <w:bookmarkStart w:id="38" w:name="_Toc40709377"/>
      <w:r w:rsidRPr="00343454">
        <w:t>R</w:t>
      </w:r>
      <w:r w:rsidR="00A55F99" w:rsidRPr="00343454">
        <w:t>elated Documents</w:t>
      </w:r>
      <w:bookmarkEnd w:id="36"/>
      <w:bookmarkEnd w:id="37"/>
      <w:bookmarkEnd w:id="38"/>
    </w:p>
    <w:p w:rsidR="00AD3664" w:rsidRPr="00C5040A" w:rsidRDefault="004E66A7" w:rsidP="00C5040A">
      <w:pPr>
        <w:pStyle w:val="BulletList1"/>
        <w:rPr>
          <w:i/>
          <w:sz w:val="22"/>
          <w:szCs w:val="22"/>
        </w:rPr>
      </w:pPr>
      <w:hyperlink r:id="rId27" w:history="1">
        <w:r w:rsidR="007D700F" w:rsidRPr="00C5040A">
          <w:rPr>
            <w:rStyle w:val="Hyperlink"/>
            <w:i/>
            <w:sz w:val="22"/>
            <w:szCs w:val="22"/>
          </w:rPr>
          <w:t>Australian Government Department of Finance – Australia Government Cost Recovery Guidelines: Resource Management Guide No.304</w:t>
        </w:r>
      </w:hyperlink>
    </w:p>
    <w:p w:rsidR="00C5040A" w:rsidRPr="00C5040A" w:rsidRDefault="004E66A7" w:rsidP="00C5040A">
      <w:pPr>
        <w:pStyle w:val="BulletList1"/>
        <w:rPr>
          <w:i/>
          <w:sz w:val="22"/>
          <w:szCs w:val="22"/>
        </w:rPr>
      </w:pPr>
      <w:hyperlink r:id="rId28" w:history="1">
        <w:r w:rsidR="00C5040A" w:rsidRPr="00C5040A">
          <w:rPr>
            <w:i/>
            <w:color w:val="0000FF"/>
            <w:sz w:val="22"/>
            <w:szCs w:val="22"/>
            <w:u w:val="single"/>
            <w:lang w:val="en-US"/>
          </w:rPr>
          <w:t>Australian Government Charging Framework | Department of Finance</w:t>
        </w:r>
      </w:hyperlink>
    </w:p>
    <w:p w:rsidR="007D700F" w:rsidRPr="00C5040A" w:rsidRDefault="004E66A7" w:rsidP="00C5040A">
      <w:pPr>
        <w:pStyle w:val="BulletList1"/>
        <w:rPr>
          <w:sz w:val="22"/>
          <w:szCs w:val="22"/>
        </w:rPr>
      </w:pPr>
      <w:hyperlink r:id="rId29" w:history="1">
        <w:r w:rsidR="007D700F" w:rsidRPr="00C5040A">
          <w:rPr>
            <w:i/>
            <w:color w:val="0000FF"/>
            <w:sz w:val="22"/>
            <w:szCs w:val="22"/>
            <w:u w:val="single"/>
          </w:rPr>
          <w:t>Australian Productivity Commission – Cost Recovery by Government Agencies Inquiry Report</w:t>
        </w:r>
      </w:hyperlink>
    </w:p>
    <w:p w:rsidR="007D700F" w:rsidRPr="00C5040A" w:rsidRDefault="004E66A7" w:rsidP="00C5040A">
      <w:pPr>
        <w:pStyle w:val="BulletList1"/>
        <w:rPr>
          <w:i/>
          <w:sz w:val="22"/>
          <w:szCs w:val="22"/>
          <w:lang w:eastAsia="en-AU"/>
        </w:rPr>
      </w:pPr>
      <w:hyperlink r:id="rId30" w:history="1">
        <w:r w:rsidR="007D700F" w:rsidRPr="00C5040A">
          <w:rPr>
            <w:i/>
            <w:color w:val="0000FF"/>
            <w:sz w:val="22"/>
            <w:szCs w:val="22"/>
            <w:u w:val="single"/>
          </w:rPr>
          <w:t>Government of South Australia - Better Together: Principles of Engagement</w:t>
        </w:r>
      </w:hyperlink>
    </w:p>
    <w:p w:rsidR="007D700F" w:rsidRPr="00C5040A" w:rsidRDefault="004E66A7" w:rsidP="00C5040A">
      <w:pPr>
        <w:pStyle w:val="BulletList1"/>
        <w:rPr>
          <w:sz w:val="22"/>
          <w:szCs w:val="22"/>
          <w:lang w:eastAsia="en-AU"/>
        </w:rPr>
      </w:pPr>
      <w:hyperlink r:id="rId31" w:history="1">
        <w:r w:rsidR="00EC37D7" w:rsidRPr="00C5040A">
          <w:rPr>
            <w:i/>
            <w:color w:val="0000FF"/>
            <w:sz w:val="22"/>
            <w:szCs w:val="22"/>
            <w:u w:val="single"/>
          </w:rPr>
          <w:t>SA Department of Premier and Cabinet – Cabinet Submissions Guide</w:t>
        </w:r>
      </w:hyperlink>
      <w:r w:rsidR="007D700F" w:rsidRPr="00C5040A">
        <w:rPr>
          <w:sz w:val="22"/>
          <w:szCs w:val="22"/>
          <w:lang w:eastAsia="en-AU"/>
        </w:rPr>
        <w:t xml:space="preserve"> </w:t>
      </w:r>
    </w:p>
    <w:p w:rsidR="007D700F" w:rsidRPr="00C5040A" w:rsidRDefault="00EC37D7" w:rsidP="00C5040A">
      <w:pPr>
        <w:pStyle w:val="BulletList1"/>
        <w:rPr>
          <w:rStyle w:val="Hyperlink"/>
          <w:i/>
          <w:sz w:val="22"/>
          <w:szCs w:val="22"/>
          <w:lang w:eastAsia="en-AU"/>
        </w:rPr>
      </w:pPr>
      <w:r w:rsidRPr="00C5040A">
        <w:rPr>
          <w:i/>
          <w:color w:val="0000FF"/>
          <w:sz w:val="22"/>
          <w:szCs w:val="22"/>
          <w:u w:val="single"/>
          <w:lang w:eastAsia="en-AU"/>
        </w:rPr>
        <w:fldChar w:fldCharType="begin"/>
      </w:r>
      <w:r w:rsidRPr="00C5040A">
        <w:rPr>
          <w:i/>
          <w:color w:val="0000FF"/>
          <w:sz w:val="22"/>
          <w:szCs w:val="22"/>
          <w:u w:val="single"/>
          <w:lang w:eastAsia="en-AU"/>
        </w:rPr>
        <w:instrText xml:space="preserve"> HYPERLINK "https://www.dpc.sa.gov.au/resources-and-publications/competitive-neutrality" </w:instrText>
      </w:r>
      <w:r w:rsidR="00744630" w:rsidRPr="00C5040A">
        <w:rPr>
          <w:i/>
          <w:color w:val="0000FF"/>
          <w:sz w:val="22"/>
          <w:szCs w:val="22"/>
          <w:u w:val="single"/>
          <w:lang w:eastAsia="en-AU"/>
        </w:rPr>
      </w:r>
      <w:r w:rsidRPr="00C5040A">
        <w:rPr>
          <w:i/>
          <w:color w:val="0000FF"/>
          <w:sz w:val="22"/>
          <w:szCs w:val="22"/>
          <w:u w:val="single"/>
          <w:lang w:eastAsia="en-AU"/>
        </w:rPr>
        <w:fldChar w:fldCharType="separate"/>
      </w:r>
      <w:r w:rsidR="007D700F" w:rsidRPr="00C5040A">
        <w:rPr>
          <w:rStyle w:val="Hyperlink"/>
          <w:i/>
          <w:sz w:val="22"/>
          <w:szCs w:val="22"/>
          <w:lang w:eastAsia="en-AU"/>
        </w:rPr>
        <w:t xml:space="preserve">SA Department of Premier and Cabinet - SA Government Competitive Neutrality Policy and Implementation Guidelines website </w:t>
      </w:r>
    </w:p>
    <w:p w:rsidR="007D700F" w:rsidRPr="00C5040A" w:rsidRDefault="00EC37D7" w:rsidP="00C5040A">
      <w:pPr>
        <w:pStyle w:val="BulletList1"/>
        <w:rPr>
          <w:sz w:val="22"/>
          <w:szCs w:val="22"/>
        </w:rPr>
      </w:pPr>
      <w:r w:rsidRPr="00C5040A">
        <w:rPr>
          <w:i/>
          <w:color w:val="0000FF"/>
          <w:sz w:val="22"/>
          <w:szCs w:val="22"/>
          <w:u w:val="single"/>
          <w:lang w:eastAsia="en-AU"/>
        </w:rPr>
        <w:fldChar w:fldCharType="end"/>
      </w:r>
      <w:hyperlink r:id="rId32" w:history="1">
        <w:r w:rsidR="007D700F" w:rsidRPr="00C5040A">
          <w:rPr>
            <w:i/>
            <w:color w:val="0000FF"/>
            <w:sz w:val="22"/>
            <w:szCs w:val="22"/>
            <w:u w:val="single"/>
            <w:lang w:eastAsia="en-AU"/>
          </w:rPr>
          <w:t xml:space="preserve">South Australian Department of Treasury and Finance - Sustainable Budget Commission - </w:t>
        </w:r>
        <w:r w:rsidR="007D700F" w:rsidRPr="00C5040A">
          <w:rPr>
            <w:i/>
            <w:color w:val="0000FF"/>
            <w:sz w:val="22"/>
            <w:szCs w:val="22"/>
            <w:u w:val="single"/>
            <w:lang w:val="en-US"/>
          </w:rPr>
          <w:t>Sustainable Budget Commission Phase 1 and 2 Reports (2010)</w:t>
        </w:r>
      </w:hyperlink>
    </w:p>
    <w:p w:rsidR="007D700F" w:rsidRPr="00C5040A" w:rsidRDefault="004E66A7" w:rsidP="00C5040A">
      <w:pPr>
        <w:pStyle w:val="BulletList1"/>
        <w:rPr>
          <w:i/>
          <w:sz w:val="22"/>
          <w:szCs w:val="22"/>
        </w:rPr>
      </w:pPr>
      <w:hyperlink r:id="rId33" w:history="1">
        <w:r w:rsidR="007D700F" w:rsidRPr="00C5040A">
          <w:rPr>
            <w:i/>
            <w:color w:val="0000FF"/>
            <w:sz w:val="22"/>
            <w:szCs w:val="22"/>
            <w:u w:val="single"/>
          </w:rPr>
          <w:t>South Australian Department of Treasury and Finance - Treasurer’s Instruction 17: Evaluation of and Approvals to Proceed with Public Sector Initiatives</w:t>
        </w:r>
      </w:hyperlink>
      <w:r w:rsidR="007D700F" w:rsidRPr="00C5040A">
        <w:rPr>
          <w:i/>
          <w:sz w:val="22"/>
          <w:szCs w:val="22"/>
        </w:rPr>
        <w:t xml:space="preserve"> </w:t>
      </w:r>
    </w:p>
    <w:p w:rsidR="007D700F" w:rsidRPr="00C5040A" w:rsidRDefault="004E66A7" w:rsidP="00C5040A">
      <w:pPr>
        <w:pStyle w:val="BulletList1"/>
        <w:rPr>
          <w:i/>
          <w:sz w:val="22"/>
          <w:szCs w:val="22"/>
        </w:rPr>
      </w:pPr>
      <w:hyperlink r:id="rId34" w:history="1">
        <w:r w:rsidR="007D700F" w:rsidRPr="00C5040A">
          <w:rPr>
            <w:i/>
            <w:color w:val="0000FF"/>
            <w:sz w:val="22"/>
            <w:szCs w:val="22"/>
            <w:u w:val="single"/>
            <w:lang w:eastAsia="en-AU"/>
          </w:rPr>
          <w:t xml:space="preserve">South Australian Department of Treasury and Finance - Treasurer's Instruction 17: </w:t>
        </w:r>
        <w:r w:rsidR="007D700F" w:rsidRPr="00C5040A">
          <w:rPr>
            <w:i/>
            <w:iCs/>
            <w:color w:val="0000FF"/>
            <w:sz w:val="22"/>
            <w:szCs w:val="22"/>
            <w:u w:val="single"/>
            <w:lang w:eastAsia="en-AU"/>
          </w:rPr>
          <w:t>Guidelines for the Evaluation of Public Sector Initiatives Parts A and B</w:t>
        </w:r>
      </w:hyperlink>
    </w:p>
    <w:p w:rsidR="007D700F" w:rsidRPr="007D700F" w:rsidRDefault="007D700F" w:rsidP="007D700F"/>
    <w:p w:rsidR="00A56375" w:rsidRPr="00343454" w:rsidRDefault="00A56375" w:rsidP="00994114"/>
    <w:sectPr w:rsidR="00A56375" w:rsidRPr="00343454" w:rsidSect="006D1046">
      <w:headerReference w:type="even" r:id="rId35"/>
      <w:headerReference w:type="first" r:id="rId36"/>
      <w:pgSz w:w="11906" w:h="16838" w:code="9"/>
      <w:pgMar w:top="1249"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B91" w:rsidRDefault="002C5B91" w:rsidP="00225B90">
      <w:r>
        <w:separator/>
      </w:r>
    </w:p>
    <w:p w:rsidR="002C5B91" w:rsidRDefault="002C5B91" w:rsidP="00225B90"/>
  </w:endnote>
  <w:endnote w:type="continuationSeparator" w:id="0">
    <w:p w:rsidR="002C5B91" w:rsidRDefault="002C5B91" w:rsidP="00225B90">
      <w:r>
        <w:continuationSeparator/>
      </w:r>
    </w:p>
    <w:p w:rsidR="002C5B91" w:rsidRDefault="002C5B91" w:rsidP="00225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664" w:rsidRDefault="00AD3664">
    <w:pPr>
      <w:pStyle w:val="Footer"/>
    </w:pPr>
    <w:r>
      <w:rPr>
        <w:noProof/>
        <w:lang w:eastAsia="en-AU"/>
      </w:rPr>
      <w:drawing>
        <wp:anchor distT="0" distB="0" distL="114300" distR="114300" simplePos="0" relativeHeight="251688960" behindDoc="0" locked="0" layoutInCell="1" allowOverlap="1" wp14:anchorId="424AC84B" wp14:editId="7FB0AB23">
          <wp:simplePos x="0" y="0"/>
          <wp:positionH relativeFrom="column">
            <wp:posOffset>-337820</wp:posOffset>
          </wp:positionH>
          <wp:positionV relativeFrom="paragraph">
            <wp:posOffset>-467995</wp:posOffset>
          </wp:positionV>
          <wp:extent cx="1033145" cy="1101090"/>
          <wp:effectExtent l="0" t="0" r="0" b="3810"/>
          <wp:wrapNone/>
          <wp:docPr id="14" name="Picture 14" descr="The South Australian State brand logo." title="State Brand logo."/>
          <wp:cNvGraphicFramePr/>
          <a:graphic xmlns:a="http://schemas.openxmlformats.org/drawingml/2006/main">
            <a:graphicData uri="http://schemas.openxmlformats.org/drawingml/2006/picture">
              <pic:pic xmlns:pic="http://schemas.openxmlformats.org/drawingml/2006/picture">
                <pic:nvPicPr>
                  <pic:cNvPr id="3" name="Picture 3" descr="The South Australian State brand logo." title="State Brand logo."/>
                  <pic:cNvPicPr/>
                </pic:nvPicPr>
                <pic:blipFill>
                  <a:blip r:embed="rId1">
                    <a:extLst>
                      <a:ext uri="{28A0092B-C50C-407E-A947-70E740481C1C}">
                        <a14:useLocalDpi xmlns:a14="http://schemas.microsoft.com/office/drawing/2010/main" val="0"/>
                      </a:ext>
                    </a:extLst>
                  </a:blip>
                  <a:stretch>
                    <a:fillRect/>
                  </a:stretch>
                </pic:blipFill>
                <pic:spPr>
                  <a:xfrm>
                    <a:off x="0" y="0"/>
                    <a:ext cx="1033145" cy="1101090"/>
                  </a:xfrm>
                  <a:prstGeom prst="rect">
                    <a:avLst/>
                  </a:prstGeom>
                </pic:spPr>
              </pic:pic>
            </a:graphicData>
          </a:graphic>
        </wp:anchor>
      </w:drawing>
    </w:r>
    <w:r>
      <w:rPr>
        <w:noProof/>
        <w:lang w:eastAsia="en-AU"/>
      </w:rPr>
      <w:drawing>
        <wp:anchor distT="0" distB="0" distL="114300" distR="114300" simplePos="0" relativeHeight="251687936" behindDoc="0" locked="0" layoutInCell="1" allowOverlap="1" wp14:anchorId="2AD9EC5E" wp14:editId="054D9DC1">
          <wp:simplePos x="0" y="0"/>
          <wp:positionH relativeFrom="column">
            <wp:posOffset>5251450</wp:posOffset>
          </wp:positionH>
          <wp:positionV relativeFrom="paragraph">
            <wp:posOffset>-399415</wp:posOffset>
          </wp:positionV>
          <wp:extent cx="938530" cy="1035685"/>
          <wp:effectExtent l="0" t="0" r="0" b="0"/>
          <wp:wrapNone/>
          <wp:docPr id="15" name="Picture 15" descr="gosa_word_col_lg"/>
          <wp:cNvGraphicFramePr/>
          <a:graphic xmlns:a="http://schemas.openxmlformats.org/drawingml/2006/main">
            <a:graphicData uri="http://schemas.openxmlformats.org/drawingml/2006/picture">
              <pic:pic xmlns:pic="http://schemas.openxmlformats.org/drawingml/2006/picture">
                <pic:nvPicPr>
                  <pic:cNvPr id="4" name="Picture 4" descr="gosa_word_col_l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8530" cy="103568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664" w:rsidRPr="00F8642E" w:rsidRDefault="00AD3664" w:rsidP="00225B90">
    <w:pPr>
      <w:pStyle w:val="Footer"/>
    </w:pPr>
    <w:r w:rsidRPr="00F8642E">
      <w:rPr>
        <w:lang w:val="en-GB" w:eastAsia="en-AU"/>
      </w:rPr>
      <w:fldChar w:fldCharType="begin"/>
    </w:r>
    <w:r w:rsidRPr="00F8642E">
      <w:instrText xml:space="preserve"> STYLEREF  "Policy title"  \* MERGEFORMAT </w:instrText>
    </w:r>
    <w:r w:rsidRPr="00F8642E">
      <w:rPr>
        <w:lang w:val="en-GB" w:eastAsia="en-AU"/>
      </w:rPr>
      <w:fldChar w:fldCharType="separate"/>
    </w:r>
    <w:r w:rsidR="00744630">
      <w:rPr>
        <w:b/>
        <w:bCs/>
        <w:noProof/>
        <w:lang w:val="en-US" w:eastAsia="en-AU"/>
      </w:rPr>
      <w:t>Error! No text of specified style in document.</w:t>
    </w:r>
    <w:r w:rsidRPr="00F8642E">
      <w:fldChar w:fldCharType="end"/>
    </w:r>
    <w:r w:rsidRPr="00F95E0B">
      <w:tab/>
      <w:t xml:space="preserve">Page </w:t>
    </w:r>
    <w:r w:rsidRPr="00F95E0B">
      <w:rPr>
        <w:rStyle w:val="PageNumber"/>
      </w:rPr>
      <w:fldChar w:fldCharType="begin"/>
    </w:r>
    <w:r w:rsidRPr="00F95E0B">
      <w:rPr>
        <w:rStyle w:val="PageNumber"/>
      </w:rPr>
      <w:instrText xml:space="preserve"> PAGE </w:instrText>
    </w:r>
    <w:r w:rsidRPr="00F95E0B">
      <w:rPr>
        <w:rStyle w:val="PageNumber"/>
      </w:rPr>
      <w:fldChar w:fldCharType="separate"/>
    </w:r>
    <w:r w:rsidR="00744630">
      <w:rPr>
        <w:rStyle w:val="PageNumber"/>
        <w:noProof/>
      </w:rPr>
      <w:t>2</w:t>
    </w:r>
    <w:r w:rsidRPr="00F95E0B">
      <w:rPr>
        <w:rStyle w:val="PageNumber"/>
      </w:rPr>
      <w:fldChar w:fldCharType="end"/>
    </w:r>
    <w:r w:rsidRPr="00F95E0B">
      <w:rPr>
        <w:rStyle w:val="PageNumber"/>
      </w:rPr>
      <w:t xml:space="preserve"> of </w:t>
    </w:r>
    <w:r w:rsidRPr="00F95E0B">
      <w:rPr>
        <w:rStyle w:val="PageNumber"/>
      </w:rPr>
      <w:fldChar w:fldCharType="begin"/>
    </w:r>
    <w:r w:rsidRPr="00F95E0B">
      <w:rPr>
        <w:rStyle w:val="PageNumber"/>
      </w:rPr>
      <w:instrText xml:space="preserve"> NUMPAGES </w:instrText>
    </w:r>
    <w:r w:rsidRPr="00F95E0B">
      <w:rPr>
        <w:rStyle w:val="PageNumber"/>
      </w:rPr>
      <w:fldChar w:fldCharType="separate"/>
    </w:r>
    <w:r w:rsidR="00744630">
      <w:rPr>
        <w:rStyle w:val="PageNumber"/>
        <w:noProof/>
      </w:rPr>
      <w:t>18</w:t>
    </w:r>
    <w:r w:rsidRPr="00F95E0B">
      <w:rPr>
        <w:rStyle w:val="PageNumber"/>
      </w:rPr>
      <w:fldChar w:fldCharType="end"/>
    </w:r>
  </w:p>
  <w:p w:rsidR="00AD3664" w:rsidRPr="00F95E0B" w:rsidRDefault="00AD3664" w:rsidP="00225B90">
    <w:pPr>
      <w:pStyle w:val="Footer"/>
    </w:pPr>
    <w:r w:rsidRPr="00F8642E">
      <w:t xml:space="preserve">Approved: </w:t>
    </w:r>
    <w:r>
      <w:rPr>
        <w:b/>
        <w:bCs/>
        <w:noProof/>
        <w:lang w:val="en-US"/>
      </w:rPr>
      <w:fldChar w:fldCharType="begin"/>
    </w:r>
    <w:r>
      <w:rPr>
        <w:b/>
        <w:bCs/>
        <w:noProof/>
        <w:lang w:val="en-US"/>
      </w:rPr>
      <w:instrText xml:space="preserve"> STYLEREF  "Approved date lookup field"  \* MERGEFORMAT </w:instrText>
    </w:r>
    <w:r>
      <w:rPr>
        <w:b/>
        <w:bCs/>
        <w:noProof/>
        <w:lang w:val="en-US"/>
      </w:rPr>
      <w:fldChar w:fldCharType="separate"/>
    </w:r>
    <w:r w:rsidR="00744630">
      <w:rPr>
        <w:b/>
        <w:bCs/>
        <w:noProof/>
        <w:lang w:val="en-US"/>
      </w:rPr>
      <w:t>29/05/2020</w:t>
    </w:r>
    <w:r>
      <w:rPr>
        <w:b/>
        <w:bCs/>
        <w:noProof/>
        <w:lang w:val="en-US"/>
      </w:rPr>
      <w:fldChar w:fldCharType="end"/>
    </w:r>
    <w:r w:rsidRPr="00F8642E">
      <w:tab/>
      <w:t xml:space="preserve">Printed: </w:t>
    </w:r>
    <w:r w:rsidRPr="00F8642E">
      <w:fldChar w:fldCharType="begin"/>
    </w:r>
    <w:r w:rsidRPr="00F8642E">
      <w:instrText xml:space="preserve"> TIME \@ "h:mm AM/PM" </w:instrText>
    </w:r>
    <w:r w:rsidRPr="00F8642E">
      <w:fldChar w:fldCharType="separate"/>
    </w:r>
    <w:r w:rsidR="00744630">
      <w:rPr>
        <w:noProof/>
      </w:rPr>
      <w:t>3:29 PM</w:t>
    </w:r>
    <w:r w:rsidRPr="00F8642E">
      <w:fldChar w:fldCharType="end"/>
    </w:r>
    <w:r w:rsidRPr="00F8642E">
      <w:t xml:space="preserve"> </w:t>
    </w:r>
    <w:r w:rsidRPr="00F8642E">
      <w:fldChar w:fldCharType="begin"/>
    </w:r>
    <w:r w:rsidRPr="00F8642E">
      <w:instrText xml:space="preserve"> DATE \@ "dd/MM/yyyy" </w:instrText>
    </w:r>
    <w:r w:rsidRPr="00F8642E">
      <w:fldChar w:fldCharType="separate"/>
    </w:r>
    <w:r w:rsidR="00744630">
      <w:rPr>
        <w:noProof/>
      </w:rPr>
      <w:t>01/07/2020</w:t>
    </w:r>
    <w:r w:rsidRPr="00F864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664" w:rsidRDefault="00AD3664" w:rsidP="002D7201">
    <w:pPr>
      <w:pStyle w:val="Footer"/>
      <w:spacing w:before="240" w:after="60"/>
      <w:rPr>
        <w:lang w:val="en-GB" w:eastAsia="en-AU"/>
      </w:rPr>
    </w:pPr>
    <w:r>
      <w:fldChar w:fldCharType="begin"/>
    </w:r>
    <w:r>
      <w:instrText xml:space="preserve"> docproperty "objective-title"</w:instrText>
    </w:r>
    <w:r>
      <w:rPr>
        <w:b/>
        <w:bCs/>
        <w:noProof/>
        <w:lang w:val="en-US"/>
      </w:rPr>
      <w:fldChar w:fldCharType="begin"/>
    </w:r>
    <w:r>
      <w:rPr>
        <w:b/>
        <w:bCs/>
        <w:noProof/>
        <w:lang w:val="en-US"/>
      </w:rPr>
      <w:instrText xml:space="preserve"> STYLEREF  "Policy title"  \* MERGEFORMAT </w:instrText>
    </w:r>
    <w:r>
      <w:rPr>
        <w:b/>
        <w:bCs/>
        <w:noProof/>
        <w:lang w:val="en-US"/>
      </w:rPr>
      <w:fldChar w:fldCharType="separate"/>
    </w:r>
    <w:r w:rsidR="004E66A7">
      <w:rPr>
        <w:noProof/>
        <w:lang w:val="en-US"/>
      </w:rPr>
      <w:instrText>Error! No text of specified style in document.</w:instrText>
    </w:r>
    <w:r>
      <w:rPr>
        <w:b/>
        <w:bCs/>
        <w:noProof/>
        <w:lang w:val="en-US"/>
      </w:rPr>
      <w:fldChar w:fldCharType="end"/>
    </w:r>
    <w:r>
      <w:instrText xml:space="preserve">\*lower \*caps </w:instrText>
    </w:r>
    <w:r>
      <w:fldChar w:fldCharType="separate"/>
    </w:r>
    <w:r w:rsidR="004E66A7">
      <w:t>Pirsa Cost Recovery Policy Go P 014 - Intranet Version</w:t>
    </w:r>
    <w:r>
      <w:fldChar w:fldCharType="end"/>
    </w:r>
    <w:r>
      <w:tab/>
      <w:t xml:space="preserve">Page </w:t>
    </w:r>
    <w:r>
      <w:rPr>
        <w:rStyle w:val="PageNumber"/>
        <w:szCs w:val="18"/>
      </w:rPr>
      <w:fldChar w:fldCharType="begin"/>
    </w:r>
    <w:r>
      <w:rPr>
        <w:rStyle w:val="PageNumber"/>
        <w:szCs w:val="18"/>
      </w:rPr>
      <w:instrText xml:space="preserve"> PAGE </w:instrText>
    </w:r>
    <w:r>
      <w:rPr>
        <w:rStyle w:val="PageNumber"/>
        <w:szCs w:val="18"/>
      </w:rPr>
      <w:fldChar w:fldCharType="separate"/>
    </w:r>
    <w:r w:rsidR="004E66A7">
      <w:rPr>
        <w:rStyle w:val="PageNumber"/>
        <w:noProof/>
        <w:szCs w:val="18"/>
      </w:rPr>
      <w:t>18</w:t>
    </w:r>
    <w:r>
      <w:rPr>
        <w:rStyle w:val="PageNumber"/>
        <w:szCs w:val="18"/>
      </w:rPr>
      <w:fldChar w:fldCharType="end"/>
    </w:r>
    <w:r>
      <w:rPr>
        <w:rStyle w:val="PageNumber"/>
        <w:szCs w:val="18"/>
      </w:rPr>
      <w:t xml:space="preserve"> of </w:t>
    </w:r>
    <w:r>
      <w:rPr>
        <w:rStyle w:val="PageNumber"/>
        <w:szCs w:val="18"/>
      </w:rPr>
      <w:fldChar w:fldCharType="begin"/>
    </w:r>
    <w:r>
      <w:rPr>
        <w:rStyle w:val="PageNumber"/>
        <w:szCs w:val="18"/>
      </w:rPr>
      <w:instrText xml:space="preserve"> NUMPAGES </w:instrText>
    </w:r>
    <w:r>
      <w:rPr>
        <w:rStyle w:val="PageNumber"/>
        <w:szCs w:val="18"/>
      </w:rPr>
      <w:fldChar w:fldCharType="separate"/>
    </w:r>
    <w:r w:rsidR="004E66A7">
      <w:rPr>
        <w:rStyle w:val="PageNumber"/>
        <w:noProof/>
        <w:szCs w:val="18"/>
      </w:rPr>
      <w:t>18</w:t>
    </w:r>
    <w:r>
      <w:rPr>
        <w:rStyle w:val="PageNumber"/>
        <w:szCs w:val="18"/>
      </w:rPr>
      <w:fldChar w:fldCharType="end"/>
    </w:r>
  </w:p>
  <w:p w:rsidR="00AD3664" w:rsidRDefault="00AD3664" w:rsidP="002D7201">
    <w:pPr>
      <w:pStyle w:val="Footer"/>
      <w:spacing w:before="60" w:after="60"/>
      <w:rPr>
        <w:lang w:val="en-GB" w:eastAsia="en-AU"/>
      </w:rPr>
    </w:pPr>
    <w:r>
      <w:rPr>
        <w:lang w:val="en-GB" w:eastAsia="en-AU"/>
      </w:rPr>
      <w:t xml:space="preserve">Approved: </w:t>
    </w:r>
    <w:r>
      <w:rPr>
        <w:noProof/>
        <w:color w:val="000000"/>
        <w:szCs w:val="18"/>
        <w:lang w:val="en-GB" w:eastAsia="en-AU"/>
      </w:rPr>
      <w:fldChar w:fldCharType="begin"/>
    </w:r>
    <w:r>
      <w:rPr>
        <w:noProof/>
        <w:color w:val="000000"/>
        <w:szCs w:val="18"/>
        <w:lang w:val="en-GB" w:eastAsia="en-AU"/>
      </w:rPr>
      <w:instrText xml:space="preserve"> STYLEREF  "Approved date lookup field"  \* MERGEFORMAT </w:instrText>
    </w:r>
    <w:r>
      <w:rPr>
        <w:noProof/>
        <w:color w:val="000000"/>
        <w:szCs w:val="18"/>
        <w:lang w:val="en-GB" w:eastAsia="en-AU"/>
      </w:rPr>
      <w:fldChar w:fldCharType="separate"/>
    </w:r>
    <w:r w:rsidR="004E66A7">
      <w:rPr>
        <w:noProof/>
        <w:color w:val="000000"/>
        <w:szCs w:val="18"/>
        <w:lang w:val="en-GB" w:eastAsia="en-AU"/>
      </w:rPr>
      <w:t>29/05/2020</w:t>
    </w:r>
    <w:r>
      <w:rPr>
        <w:noProof/>
        <w:color w:val="000000"/>
        <w:szCs w:val="18"/>
        <w:lang w:val="en-GB" w:eastAsia="en-AU"/>
      </w:rPr>
      <w:fldChar w:fldCharType="end"/>
    </w:r>
    <w:r>
      <w:rPr>
        <w:lang w:val="en-GB" w:eastAsia="en-AU"/>
      </w:rPr>
      <w:tab/>
      <w:t xml:space="preserve">Printed: </w:t>
    </w:r>
    <w:r>
      <w:rPr>
        <w:lang w:val="en-GB" w:eastAsia="en-AU"/>
      </w:rPr>
      <w:fldChar w:fldCharType="begin"/>
    </w:r>
    <w:r>
      <w:rPr>
        <w:lang w:eastAsia="en-AU"/>
      </w:rPr>
      <w:instrText xml:space="preserve"> TIME \@ "h:mm AM/PM" </w:instrText>
    </w:r>
    <w:r>
      <w:rPr>
        <w:lang w:val="en-GB" w:eastAsia="en-AU"/>
      </w:rPr>
      <w:fldChar w:fldCharType="separate"/>
    </w:r>
    <w:r w:rsidR="00744630">
      <w:rPr>
        <w:noProof/>
        <w:lang w:eastAsia="en-AU"/>
      </w:rPr>
      <w:t>3:29 PM</w:t>
    </w:r>
    <w:r>
      <w:rPr>
        <w:lang w:val="en-GB" w:eastAsia="en-AU"/>
      </w:rPr>
      <w:fldChar w:fldCharType="end"/>
    </w:r>
    <w:r>
      <w:rPr>
        <w:lang w:val="en-GB" w:eastAsia="en-AU"/>
      </w:rPr>
      <w:t xml:space="preserve"> </w:t>
    </w:r>
    <w:r>
      <w:rPr>
        <w:lang w:val="en-GB" w:eastAsia="en-AU"/>
      </w:rPr>
      <w:fldChar w:fldCharType="begin"/>
    </w:r>
    <w:r>
      <w:rPr>
        <w:lang w:eastAsia="en-AU"/>
      </w:rPr>
      <w:instrText xml:space="preserve"> DATE \@ "dd/MM/yyyy" </w:instrText>
    </w:r>
    <w:r>
      <w:rPr>
        <w:lang w:val="en-GB" w:eastAsia="en-AU"/>
      </w:rPr>
      <w:fldChar w:fldCharType="separate"/>
    </w:r>
    <w:r w:rsidR="00744630">
      <w:rPr>
        <w:noProof/>
        <w:lang w:eastAsia="en-AU"/>
      </w:rPr>
      <w:t>01/07/2020</w:t>
    </w:r>
    <w:r>
      <w:rPr>
        <w:lang w:val="en-GB" w:eastAsia="en-AU"/>
      </w:rPr>
      <w:fldChar w:fldCharType="end"/>
    </w:r>
  </w:p>
  <w:p w:rsidR="00AD3664" w:rsidRDefault="00AD3664" w:rsidP="002D7201">
    <w:pPr>
      <w:pStyle w:val="PolicySecurityClassification"/>
    </w:pPr>
    <w:r>
      <w:rPr>
        <w:lang w:val="en-GB" w:eastAsia="en-AU"/>
      </w:rPr>
      <w:t xml:space="preserve">Security Classification: </w:t>
    </w:r>
    <w:r>
      <w:fldChar w:fldCharType="begin"/>
    </w:r>
    <w:r>
      <w:instrText xml:space="preserve"> docproperty "objective-Security Classification [system]"</w:instrText>
    </w:r>
    <w:r>
      <w:fldChar w:fldCharType="begin"/>
    </w:r>
    <w:r>
      <w:instrText xml:space="preserve"> docproperty "objective-Security Classification [system]"</w:instrText>
    </w:r>
    <w:r>
      <w:fldChar w:fldCharType="begin"/>
    </w:r>
    <w:r>
      <w:instrText xml:space="preserve"> docproperty "objective-Security Classification [system]"Unclassified </w:instrText>
    </w:r>
    <w:r>
      <w:fldChar w:fldCharType="separate"/>
    </w:r>
    <w:r w:rsidR="00744630">
      <w:instrText>01 Public</w:instrText>
    </w:r>
    <w:r>
      <w:fldChar w:fldCharType="end"/>
    </w:r>
    <w:r>
      <w:instrText xml:space="preserve"> </w:instrText>
    </w:r>
    <w:r>
      <w:fldChar w:fldCharType="separate"/>
    </w:r>
    <w:r w:rsidR="00744630">
      <w:instrText>01 Public</w:instrText>
    </w:r>
    <w:r>
      <w:fldChar w:fldCharType="end"/>
    </w:r>
    <w:r>
      <w:instrText xml:space="preserve">    </w:instrText>
    </w:r>
    <w:r>
      <w:fldChar w:fldCharType="separate"/>
    </w:r>
    <w:r w:rsidR="00744630">
      <w:t>01 Public</w:t>
    </w:r>
    <w:r>
      <w:fldChar w:fldCharType="end"/>
    </w:r>
    <w:r>
      <w:fldChar w:fldCharType="begin"/>
    </w:r>
    <w:r>
      <w:instrText xml:space="preserve"> docproperty "objective-Access Use Conditions [system]"</w:instrText>
    </w:r>
    <w:r>
      <w:fldChar w:fldCharType="begin"/>
    </w:r>
    <w:r>
      <w:instrText xml:space="preserve"> STYLEREF  "Policy Security Classification"  \* MERGEFORMAT </w:instrText>
    </w:r>
    <w:r>
      <w:fldChar w:fldCharType="separate"/>
    </w:r>
    <w:r w:rsidR="004E66A7">
      <w:rPr>
        <w:b/>
        <w:bCs/>
        <w:noProof/>
        <w:lang w:val="en-US"/>
      </w:rPr>
      <w:instrText>Error! No text of specified style in document.</w:instrText>
    </w:r>
    <w:r>
      <w:rPr>
        <w:noProof/>
      </w:rPr>
      <w:fldChar w:fldCharType="end"/>
    </w:r>
    <w:r>
      <w:instrText xml:space="preserve">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B91" w:rsidRDefault="002C5B91" w:rsidP="00225B90">
      <w:r>
        <w:separator/>
      </w:r>
    </w:p>
    <w:p w:rsidR="002C5B91" w:rsidRDefault="002C5B91" w:rsidP="00225B90"/>
  </w:footnote>
  <w:footnote w:type="continuationSeparator" w:id="0">
    <w:p w:rsidR="002C5B91" w:rsidRDefault="002C5B91" w:rsidP="00225B90">
      <w:r>
        <w:continuationSeparator/>
      </w:r>
    </w:p>
    <w:p w:rsidR="002C5B91" w:rsidRDefault="002C5B91" w:rsidP="00225B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664" w:rsidRDefault="004E66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0" o:spid="_x0000_s2093" type="#_x0000_t136" style="position:absolute;margin-left:0;margin-top:0;width:156.75pt;height:80.25pt;rotation:315;z-index:-251623424;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664" w:rsidRDefault="004E66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59" o:spid="_x0000_s2092" type="#_x0000_t136" style="position:absolute;margin-left:0;margin-top:0;width:156.75pt;height:80.25pt;rotation:315;z-index:-251625472;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664" w:rsidRDefault="004E66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3" o:spid="_x0000_s2096" type="#_x0000_t136" style="position:absolute;margin-left:0;margin-top:0;width:156.75pt;height:80.25pt;rotation:315;z-index:-251617280;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664" w:rsidRPr="00F8642E" w:rsidRDefault="00AD3664" w:rsidP="00576434">
    <w:pPr>
      <w:pStyle w:val="Header"/>
      <w:spacing w:after="120"/>
    </w:pPr>
    <w:r w:rsidRPr="00F8642E">
      <w:rPr>
        <w:noProof/>
        <w:lang w:eastAsia="en-AU"/>
      </w:rPr>
      <mc:AlternateContent>
        <mc:Choice Requires="wps">
          <w:drawing>
            <wp:anchor distT="0" distB="0" distL="114300" distR="114300" simplePos="0" relativeHeight="251685888" behindDoc="0" locked="0" layoutInCell="1" allowOverlap="1" wp14:anchorId="55BFAA58" wp14:editId="34F6DA45">
              <wp:simplePos x="0" y="0"/>
              <wp:positionH relativeFrom="column">
                <wp:posOffset>-15292</wp:posOffset>
              </wp:positionH>
              <wp:positionV relativeFrom="paragraph">
                <wp:posOffset>-106401</wp:posOffset>
              </wp:positionV>
              <wp:extent cx="5786323" cy="248285"/>
              <wp:effectExtent l="0" t="0" r="5080" b="0"/>
              <wp:wrapNone/>
              <wp:docPr id="5" name="Rectangle 5" descr="PIRSA Policy."/>
              <wp:cNvGraphicFramePr/>
              <a:graphic xmlns:a="http://schemas.openxmlformats.org/drawingml/2006/main">
                <a:graphicData uri="http://schemas.microsoft.com/office/word/2010/wordprocessingShape">
                  <wps:wsp>
                    <wps:cNvSpPr/>
                    <wps:spPr>
                      <a:xfrm>
                        <a:off x="0" y="0"/>
                        <a:ext cx="5786323" cy="248285"/>
                      </a:xfrm>
                      <a:prstGeom prst="rect">
                        <a:avLst/>
                      </a:prstGeom>
                      <a:solidFill>
                        <a:srgbClr val="0042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3664" w:rsidRPr="004E60F5" w:rsidRDefault="00AD3664" w:rsidP="004E60F5">
                          <w:pPr>
                            <w:spacing w:before="0" w:after="0" w:line="240" w:lineRule="auto"/>
                            <w:jc w:val="right"/>
                            <w:rPr>
                              <w:b/>
                              <w:sz w:val="20"/>
                            </w:rPr>
                          </w:pPr>
                          <w:r w:rsidRPr="004E60F5">
                            <w:rPr>
                              <w:b/>
                              <w:sz w:val="20"/>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FAA58" id="Rectangle 5" o:spid="_x0000_s1027" alt="PIRSA Policy." style="position:absolute;margin-left:-1.2pt;margin-top:-8.4pt;width:455.6pt;height:1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" fillcolor="#00427a" stroked="f" strokeweight="2pt">
              <v:textbox>
                <w:txbxContent>
                  <w:p w:rsidR="00AD3664" w:rsidRPr="004E60F5" w:rsidRDefault="00AD3664" w:rsidP="004E60F5">
                    <w:pPr>
                      <w:spacing w:before="0" w:after="0" w:line="240" w:lineRule="auto"/>
                      <w:jc w:val="right"/>
                      <w:rPr>
                        <w:b/>
                        <w:sz w:val="20"/>
                      </w:rPr>
                    </w:pPr>
                    <w:r w:rsidRPr="004E60F5">
                      <w:rPr>
                        <w:b/>
                        <w:sz w:val="20"/>
                      </w:rPr>
                      <w:t>POLICY</w:t>
                    </w:r>
                  </w:p>
                </w:txbxContent>
              </v:textbox>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664" w:rsidRDefault="004E66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2" o:spid="_x0000_s2095" type="#_x0000_t136" style="position:absolute;margin-left:0;margin-top:0;width:156.75pt;height:80.25pt;rotation:315;z-index:-251619328;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664" w:rsidRDefault="004E66A7" w:rsidP="00225B9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6" o:spid="_x0000_s2099" type="#_x0000_t136" style="position:absolute;margin-left:0;margin-top:0;width:156.75pt;height:80.25pt;rotation:315;z-index:-251611136;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664" w:rsidRDefault="004E66A7" w:rsidP="00225B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36165" o:spid="_x0000_s2098" type="#_x0000_t136" style="position:absolute;margin-left:0;margin-top:0;width:156.75pt;height:80.25pt;rotation:315;z-index:-251613184;mso-position-horizontal:center;mso-position-horizontal-relative:margin;mso-position-vertical:center;mso-position-vertical-relative:margin" o:allowincell="f" fillcolor="silver" stroked="f">
          <v:fill opacity=".5"/>
          <v:textpath style="font-family:&quot;Arial&quot;;font-size:1in" string="Draft"/>
          <w10:wrap anchorx="margin" anchory="margin"/>
        </v:shape>
      </w:pict>
    </w:r>
    <w:r w:rsidR="00AD3664" w:rsidRPr="00F8642E">
      <w:rPr>
        <w:noProof/>
        <w:lang w:eastAsia="en-AU"/>
      </w:rPr>
      <w:drawing>
        <wp:anchor distT="0" distB="0" distL="114300" distR="114300" simplePos="0" relativeHeight="251652096" behindDoc="0" locked="0" layoutInCell="1" allowOverlap="1">
          <wp:simplePos x="0" y="0"/>
          <wp:positionH relativeFrom="column">
            <wp:align>center</wp:align>
          </wp:positionH>
          <wp:positionV relativeFrom="page">
            <wp:posOffset>107950</wp:posOffset>
          </wp:positionV>
          <wp:extent cx="7562850" cy="723900"/>
          <wp:effectExtent l="19050" t="0" r="0" b="0"/>
          <wp:wrapNone/>
          <wp:docPr id="19" name="Picture 15" descr="other p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ther pg 2"/>
                  <pic:cNvPicPr>
                    <a:picLocks noChangeAspect="1" noChangeArrowheads="1"/>
                  </pic:cNvPicPr>
                </pic:nvPicPr>
                <pic:blipFill>
                  <a:blip r:embed="rId1"/>
                  <a:srcRect/>
                  <a:stretch>
                    <a:fillRect/>
                  </a:stretch>
                </pic:blipFill>
                <pic:spPr bwMode="auto">
                  <a:xfrm>
                    <a:off x="0" y="0"/>
                    <a:ext cx="7562850"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B61A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5A4FD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7C5C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DE14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726D3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04B2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0073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9F0E497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1E2E34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451D8F"/>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FC53801"/>
    <w:multiLevelType w:val="hybridMultilevel"/>
    <w:tmpl w:val="886AC6E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380544E"/>
    <w:multiLevelType w:val="hybridMultilevel"/>
    <w:tmpl w:val="7F880376"/>
    <w:lvl w:ilvl="0" w:tplc="F372F2FE">
      <w:start w:val="1"/>
      <w:numFmt w:val="bullet"/>
      <w:pStyle w:val="ListBullet2"/>
      <w:lvlText w:val="○"/>
      <w:lvlJc w:val="left"/>
      <w:pPr>
        <w:tabs>
          <w:tab w:val="num" w:pos="643"/>
        </w:tabs>
        <w:ind w:left="643" w:hanging="360"/>
      </w:pPr>
      <w:rPr>
        <w:rFonts w:hint="default"/>
        <w:sz w:val="18"/>
      </w:rPr>
    </w:lvl>
    <w:lvl w:ilvl="1" w:tplc="997214F0" w:tentative="1">
      <w:start w:val="1"/>
      <w:numFmt w:val="bullet"/>
      <w:lvlText w:val="o"/>
      <w:lvlJc w:val="left"/>
      <w:pPr>
        <w:tabs>
          <w:tab w:val="num" w:pos="1440"/>
        </w:tabs>
        <w:ind w:left="1440" w:hanging="360"/>
      </w:pPr>
      <w:rPr>
        <w:rFonts w:ascii="Courier New" w:hAnsi="Courier New" w:hint="default"/>
      </w:rPr>
    </w:lvl>
    <w:lvl w:ilvl="2" w:tplc="AC920DF0" w:tentative="1">
      <w:start w:val="1"/>
      <w:numFmt w:val="bullet"/>
      <w:lvlText w:val=""/>
      <w:lvlJc w:val="left"/>
      <w:pPr>
        <w:tabs>
          <w:tab w:val="num" w:pos="2160"/>
        </w:tabs>
        <w:ind w:left="2160" w:hanging="360"/>
      </w:pPr>
      <w:rPr>
        <w:rFonts w:ascii="Wingdings" w:hAnsi="Wingdings" w:hint="default"/>
      </w:rPr>
    </w:lvl>
    <w:lvl w:ilvl="3" w:tplc="02E8C974" w:tentative="1">
      <w:start w:val="1"/>
      <w:numFmt w:val="bullet"/>
      <w:lvlText w:val=""/>
      <w:lvlJc w:val="left"/>
      <w:pPr>
        <w:tabs>
          <w:tab w:val="num" w:pos="2880"/>
        </w:tabs>
        <w:ind w:left="2880" w:hanging="360"/>
      </w:pPr>
      <w:rPr>
        <w:rFonts w:ascii="Symbol" w:hAnsi="Symbol" w:hint="default"/>
      </w:rPr>
    </w:lvl>
    <w:lvl w:ilvl="4" w:tplc="E594F2EE" w:tentative="1">
      <w:start w:val="1"/>
      <w:numFmt w:val="bullet"/>
      <w:lvlText w:val="o"/>
      <w:lvlJc w:val="left"/>
      <w:pPr>
        <w:tabs>
          <w:tab w:val="num" w:pos="3600"/>
        </w:tabs>
        <w:ind w:left="3600" w:hanging="360"/>
      </w:pPr>
      <w:rPr>
        <w:rFonts w:ascii="Courier New" w:hAnsi="Courier New" w:hint="default"/>
      </w:rPr>
    </w:lvl>
    <w:lvl w:ilvl="5" w:tplc="37F411CA" w:tentative="1">
      <w:start w:val="1"/>
      <w:numFmt w:val="bullet"/>
      <w:lvlText w:val=""/>
      <w:lvlJc w:val="left"/>
      <w:pPr>
        <w:tabs>
          <w:tab w:val="num" w:pos="4320"/>
        </w:tabs>
        <w:ind w:left="4320" w:hanging="360"/>
      </w:pPr>
      <w:rPr>
        <w:rFonts w:ascii="Wingdings" w:hAnsi="Wingdings" w:hint="default"/>
      </w:rPr>
    </w:lvl>
    <w:lvl w:ilvl="6" w:tplc="C92AC600" w:tentative="1">
      <w:start w:val="1"/>
      <w:numFmt w:val="bullet"/>
      <w:lvlText w:val=""/>
      <w:lvlJc w:val="left"/>
      <w:pPr>
        <w:tabs>
          <w:tab w:val="num" w:pos="5040"/>
        </w:tabs>
        <w:ind w:left="5040" w:hanging="360"/>
      </w:pPr>
      <w:rPr>
        <w:rFonts w:ascii="Symbol" w:hAnsi="Symbol" w:hint="default"/>
      </w:rPr>
    </w:lvl>
    <w:lvl w:ilvl="7" w:tplc="94B21008" w:tentative="1">
      <w:start w:val="1"/>
      <w:numFmt w:val="bullet"/>
      <w:lvlText w:val="o"/>
      <w:lvlJc w:val="left"/>
      <w:pPr>
        <w:tabs>
          <w:tab w:val="num" w:pos="5760"/>
        </w:tabs>
        <w:ind w:left="5760" w:hanging="360"/>
      </w:pPr>
      <w:rPr>
        <w:rFonts w:ascii="Courier New" w:hAnsi="Courier New" w:hint="default"/>
      </w:rPr>
    </w:lvl>
    <w:lvl w:ilvl="8" w:tplc="3ECA21D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92DD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77A6217"/>
    <w:multiLevelType w:val="hybridMultilevel"/>
    <w:tmpl w:val="CFAA3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EC3A44"/>
    <w:multiLevelType w:val="hybridMultilevel"/>
    <w:tmpl w:val="812CF9DA"/>
    <w:lvl w:ilvl="0" w:tplc="0C090003">
      <w:start w:val="1"/>
      <w:numFmt w:val="bullet"/>
      <w:pStyle w:val="BulletLis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B1A7B"/>
    <w:multiLevelType w:val="hybridMultilevel"/>
    <w:tmpl w:val="86DAE1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35E040B"/>
    <w:multiLevelType w:val="hybridMultilevel"/>
    <w:tmpl w:val="7354B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B80BD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8AB653F"/>
    <w:multiLevelType w:val="hybridMultilevel"/>
    <w:tmpl w:val="DB921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A2554D"/>
    <w:multiLevelType w:val="multilevel"/>
    <w:tmpl w:val="092C5D24"/>
    <w:lvl w:ilvl="0">
      <w:start w:val="1"/>
      <w:numFmt w:val="lowerLetter"/>
      <w:lvlText w:val="%1."/>
      <w:lvlJc w:val="left"/>
      <w:pPr>
        <w:tabs>
          <w:tab w:val="num" w:pos="363"/>
        </w:tabs>
        <w:ind w:left="363" w:hanging="363"/>
      </w:pPr>
      <w:rPr>
        <w:rFonts w:hint="default"/>
      </w:rPr>
    </w:lvl>
    <w:lvl w:ilvl="1">
      <w:start w:val="1"/>
      <w:numFmt w:val="lowerLetter"/>
      <w:pStyle w:val="ListNumber2a"/>
      <w:lvlText w:val="%2."/>
      <w:lvlJc w:val="left"/>
      <w:pPr>
        <w:tabs>
          <w:tab w:val="num" w:pos="785"/>
        </w:tabs>
        <w:ind w:left="709" w:hanging="28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ED4DEF"/>
    <w:multiLevelType w:val="multilevel"/>
    <w:tmpl w:val="006A490C"/>
    <w:lvl w:ilvl="0">
      <w:start w:val="1"/>
      <w:numFmt w:val="decimal"/>
      <w:pStyle w:val="Heading1"/>
      <w:lvlText w:val="%1."/>
      <w:lvlJc w:val="left"/>
      <w:pPr>
        <w:tabs>
          <w:tab w:val="num" w:pos="432"/>
        </w:tabs>
        <w:ind w:left="432" w:hanging="432"/>
      </w:pPr>
      <w:rPr>
        <w:rFonts w:hint="default"/>
        <w:color w:val="00427A"/>
      </w:rPr>
    </w:lvl>
    <w:lvl w:ilvl="1">
      <w:start w:val="1"/>
      <w:numFmt w:val="decimal"/>
      <w:pStyle w:val="Heading2"/>
      <w:lvlText w:val="%1.%2"/>
      <w:lvlJc w:val="left"/>
      <w:pPr>
        <w:tabs>
          <w:tab w:val="num" w:pos="576"/>
        </w:tabs>
        <w:ind w:left="576" w:hanging="576"/>
      </w:pPr>
      <w:rPr>
        <w:rFonts w:hint="default"/>
        <w:color w:val="00427A"/>
      </w:rPr>
    </w:lvl>
    <w:lvl w:ilvl="2">
      <w:start w:val="1"/>
      <w:numFmt w:val="decimal"/>
      <w:pStyle w:val="Heading3"/>
      <w:lvlText w:val="%1.%2.%3"/>
      <w:lvlJc w:val="left"/>
      <w:pPr>
        <w:tabs>
          <w:tab w:val="num" w:pos="720"/>
        </w:tabs>
        <w:ind w:left="720" w:hanging="720"/>
      </w:pPr>
      <w:rPr>
        <w:rFonts w:hint="default"/>
        <w:sz w:val="26"/>
        <w:szCs w:val="26"/>
      </w:rPr>
    </w:lvl>
    <w:lvl w:ilvl="3">
      <w:start w:val="1"/>
      <w:numFmt w:val="decimal"/>
      <w:lvlText w:val="%1.%2.%3.%4"/>
      <w:lvlJc w:val="left"/>
      <w:pPr>
        <w:tabs>
          <w:tab w:val="num" w:pos="864"/>
        </w:tabs>
        <w:ind w:left="864" w:hanging="864"/>
      </w:pPr>
      <w:rPr>
        <w:rFonts w:ascii="Arial" w:hAnsi="Arial" w:hint="default"/>
        <w:b/>
        <w:i w:val="0"/>
        <w:sz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9DC4037"/>
    <w:multiLevelType w:val="hybridMultilevel"/>
    <w:tmpl w:val="7172C0B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A96D36"/>
    <w:multiLevelType w:val="hybridMultilevel"/>
    <w:tmpl w:val="234C92A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561E6A"/>
    <w:multiLevelType w:val="hybridMultilevel"/>
    <w:tmpl w:val="E5349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374C69"/>
    <w:multiLevelType w:val="hybridMultilevel"/>
    <w:tmpl w:val="33CC947E"/>
    <w:lvl w:ilvl="0" w:tplc="0C090001">
      <w:start w:val="1"/>
      <w:numFmt w:val="bullet"/>
      <w:lvlText w:val=""/>
      <w:lvlJc w:val="left"/>
      <w:pPr>
        <w:tabs>
          <w:tab w:val="num" w:pos="360"/>
        </w:tabs>
        <w:ind w:left="360" w:hanging="360"/>
      </w:pPr>
      <w:rPr>
        <w:rFonts w:ascii="Symbol" w:hAnsi="Symbol" w:hint="default"/>
        <w:b w:val="0"/>
        <w:i w:val="0"/>
        <w:caps w:val="0"/>
        <w:strike w:val="0"/>
        <w:dstrike w:val="0"/>
        <w:vanish w:val="0"/>
        <w:sz w:val="22"/>
        <w:vertAlign w:val="baseline"/>
      </w:rPr>
    </w:lvl>
    <w:lvl w:ilvl="1" w:tplc="3C7CE592" w:tentative="1">
      <w:start w:val="1"/>
      <w:numFmt w:val="bullet"/>
      <w:lvlText w:val="o"/>
      <w:lvlJc w:val="left"/>
      <w:pPr>
        <w:tabs>
          <w:tab w:val="num" w:pos="1157"/>
        </w:tabs>
        <w:ind w:left="1157" w:hanging="360"/>
      </w:pPr>
      <w:rPr>
        <w:rFonts w:ascii="Courier New" w:hAnsi="Courier New" w:hint="default"/>
      </w:rPr>
    </w:lvl>
    <w:lvl w:ilvl="2" w:tplc="D45693B8" w:tentative="1">
      <w:start w:val="1"/>
      <w:numFmt w:val="bullet"/>
      <w:lvlText w:val=""/>
      <w:lvlJc w:val="left"/>
      <w:pPr>
        <w:tabs>
          <w:tab w:val="num" w:pos="1877"/>
        </w:tabs>
        <w:ind w:left="1877" w:hanging="360"/>
      </w:pPr>
      <w:rPr>
        <w:rFonts w:ascii="Wingdings" w:hAnsi="Wingdings" w:hint="default"/>
      </w:rPr>
    </w:lvl>
    <w:lvl w:ilvl="3" w:tplc="66BCD7E6" w:tentative="1">
      <w:start w:val="1"/>
      <w:numFmt w:val="bullet"/>
      <w:lvlText w:val=""/>
      <w:lvlJc w:val="left"/>
      <w:pPr>
        <w:tabs>
          <w:tab w:val="num" w:pos="2597"/>
        </w:tabs>
        <w:ind w:left="2597" w:hanging="360"/>
      </w:pPr>
      <w:rPr>
        <w:rFonts w:ascii="Symbol" w:hAnsi="Symbol" w:hint="default"/>
      </w:rPr>
    </w:lvl>
    <w:lvl w:ilvl="4" w:tplc="4F3E619A" w:tentative="1">
      <w:start w:val="1"/>
      <w:numFmt w:val="bullet"/>
      <w:lvlText w:val="o"/>
      <w:lvlJc w:val="left"/>
      <w:pPr>
        <w:tabs>
          <w:tab w:val="num" w:pos="3317"/>
        </w:tabs>
        <w:ind w:left="3317" w:hanging="360"/>
      </w:pPr>
      <w:rPr>
        <w:rFonts w:ascii="Courier New" w:hAnsi="Courier New" w:hint="default"/>
      </w:rPr>
    </w:lvl>
    <w:lvl w:ilvl="5" w:tplc="AC163B40" w:tentative="1">
      <w:start w:val="1"/>
      <w:numFmt w:val="bullet"/>
      <w:lvlText w:val=""/>
      <w:lvlJc w:val="left"/>
      <w:pPr>
        <w:tabs>
          <w:tab w:val="num" w:pos="4037"/>
        </w:tabs>
        <w:ind w:left="4037" w:hanging="360"/>
      </w:pPr>
      <w:rPr>
        <w:rFonts w:ascii="Wingdings" w:hAnsi="Wingdings" w:hint="default"/>
      </w:rPr>
    </w:lvl>
    <w:lvl w:ilvl="6" w:tplc="5C70BB50" w:tentative="1">
      <w:start w:val="1"/>
      <w:numFmt w:val="bullet"/>
      <w:lvlText w:val=""/>
      <w:lvlJc w:val="left"/>
      <w:pPr>
        <w:tabs>
          <w:tab w:val="num" w:pos="4757"/>
        </w:tabs>
        <w:ind w:left="4757" w:hanging="360"/>
      </w:pPr>
      <w:rPr>
        <w:rFonts w:ascii="Symbol" w:hAnsi="Symbol" w:hint="default"/>
      </w:rPr>
    </w:lvl>
    <w:lvl w:ilvl="7" w:tplc="6FEC35D8" w:tentative="1">
      <w:start w:val="1"/>
      <w:numFmt w:val="bullet"/>
      <w:lvlText w:val="o"/>
      <w:lvlJc w:val="left"/>
      <w:pPr>
        <w:tabs>
          <w:tab w:val="num" w:pos="5477"/>
        </w:tabs>
        <w:ind w:left="5477" w:hanging="360"/>
      </w:pPr>
      <w:rPr>
        <w:rFonts w:ascii="Courier New" w:hAnsi="Courier New" w:hint="default"/>
      </w:rPr>
    </w:lvl>
    <w:lvl w:ilvl="8" w:tplc="05D62ED2" w:tentative="1">
      <w:start w:val="1"/>
      <w:numFmt w:val="bullet"/>
      <w:lvlText w:val=""/>
      <w:lvlJc w:val="left"/>
      <w:pPr>
        <w:tabs>
          <w:tab w:val="num" w:pos="6197"/>
        </w:tabs>
        <w:ind w:left="6197" w:hanging="360"/>
      </w:pPr>
      <w:rPr>
        <w:rFonts w:ascii="Wingdings" w:hAnsi="Wingdings" w:hint="default"/>
      </w:rPr>
    </w:lvl>
  </w:abstractNum>
  <w:abstractNum w:abstractNumId="25" w15:restartNumberingAfterBreak="0">
    <w:nsid w:val="54BF702C"/>
    <w:multiLevelType w:val="hybridMultilevel"/>
    <w:tmpl w:val="3AFAF7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106B1E"/>
    <w:multiLevelType w:val="hybridMultilevel"/>
    <w:tmpl w:val="6068D69A"/>
    <w:lvl w:ilvl="0" w:tplc="5C8CCA92">
      <w:start w:val="1"/>
      <w:numFmt w:val="bullet"/>
      <w:pStyle w:val="BulletList1"/>
      <w:lvlText w:val=""/>
      <w:lvlJc w:val="left"/>
      <w:pPr>
        <w:tabs>
          <w:tab w:val="num" w:pos="360"/>
        </w:tabs>
        <w:ind w:left="360" w:hanging="360"/>
      </w:pPr>
      <w:rPr>
        <w:rFonts w:ascii="Symbol" w:hAnsi="Symbol" w:hint="default"/>
        <w:b w:val="0"/>
        <w:i w:val="0"/>
        <w:caps w:val="0"/>
        <w:strike w:val="0"/>
        <w:dstrike w:val="0"/>
        <w:vanish w:val="0"/>
        <w:color w:val="000000"/>
        <w:spacing w:val="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732AF7"/>
    <w:multiLevelType w:val="hybridMultilevel"/>
    <w:tmpl w:val="CCD6E6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A315DF"/>
    <w:multiLevelType w:val="hybridMultilevel"/>
    <w:tmpl w:val="5F769852"/>
    <w:lvl w:ilvl="0" w:tplc="561850D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2084E"/>
    <w:multiLevelType w:val="hybridMultilevel"/>
    <w:tmpl w:val="254091F6"/>
    <w:lvl w:ilvl="0" w:tplc="3FD06490">
      <w:start w:val="1"/>
      <w:numFmt w:val="decimal"/>
      <w:pStyle w:val="ListNumber1"/>
      <w:lvlText w:val="%1."/>
      <w:lvlJc w:val="left"/>
      <w:pPr>
        <w:tabs>
          <w:tab w:val="num" w:pos="425"/>
        </w:tabs>
        <w:ind w:left="425" w:hanging="42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71383E78"/>
    <w:multiLevelType w:val="hybridMultilevel"/>
    <w:tmpl w:val="AC18A5B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BF0B59"/>
    <w:multiLevelType w:val="hybridMultilevel"/>
    <w:tmpl w:val="3634B78C"/>
    <w:lvl w:ilvl="0" w:tplc="0C090001">
      <w:start w:val="1"/>
      <w:numFmt w:val="bullet"/>
      <w:lvlText w:val=""/>
      <w:lvlJc w:val="left"/>
      <w:pPr>
        <w:tabs>
          <w:tab w:val="num" w:pos="-351"/>
        </w:tabs>
        <w:ind w:left="-351" w:hanging="360"/>
      </w:pPr>
      <w:rPr>
        <w:rFonts w:ascii="Symbol" w:hAnsi="Symbol" w:hint="default"/>
      </w:rPr>
    </w:lvl>
    <w:lvl w:ilvl="1" w:tplc="0C090003" w:tentative="1">
      <w:start w:val="1"/>
      <w:numFmt w:val="bullet"/>
      <w:lvlText w:val="o"/>
      <w:lvlJc w:val="left"/>
      <w:pPr>
        <w:tabs>
          <w:tab w:val="num" w:pos="369"/>
        </w:tabs>
        <w:ind w:left="369" w:hanging="360"/>
      </w:pPr>
      <w:rPr>
        <w:rFonts w:ascii="Courier New" w:hAnsi="Courier New" w:cs="Courier New" w:hint="default"/>
      </w:rPr>
    </w:lvl>
    <w:lvl w:ilvl="2" w:tplc="0C090005" w:tentative="1">
      <w:start w:val="1"/>
      <w:numFmt w:val="bullet"/>
      <w:lvlText w:val=""/>
      <w:lvlJc w:val="left"/>
      <w:pPr>
        <w:tabs>
          <w:tab w:val="num" w:pos="1089"/>
        </w:tabs>
        <w:ind w:left="1089" w:hanging="360"/>
      </w:pPr>
      <w:rPr>
        <w:rFonts w:ascii="Wingdings" w:hAnsi="Wingdings" w:hint="default"/>
      </w:rPr>
    </w:lvl>
    <w:lvl w:ilvl="3" w:tplc="0C090001" w:tentative="1">
      <w:start w:val="1"/>
      <w:numFmt w:val="bullet"/>
      <w:lvlText w:val=""/>
      <w:lvlJc w:val="left"/>
      <w:pPr>
        <w:tabs>
          <w:tab w:val="num" w:pos="1809"/>
        </w:tabs>
        <w:ind w:left="1809" w:hanging="360"/>
      </w:pPr>
      <w:rPr>
        <w:rFonts w:ascii="Symbol" w:hAnsi="Symbol" w:hint="default"/>
      </w:rPr>
    </w:lvl>
    <w:lvl w:ilvl="4" w:tplc="0C090003" w:tentative="1">
      <w:start w:val="1"/>
      <w:numFmt w:val="bullet"/>
      <w:lvlText w:val="o"/>
      <w:lvlJc w:val="left"/>
      <w:pPr>
        <w:tabs>
          <w:tab w:val="num" w:pos="2529"/>
        </w:tabs>
        <w:ind w:left="2529" w:hanging="360"/>
      </w:pPr>
      <w:rPr>
        <w:rFonts w:ascii="Courier New" w:hAnsi="Courier New" w:cs="Courier New" w:hint="default"/>
      </w:rPr>
    </w:lvl>
    <w:lvl w:ilvl="5" w:tplc="0C090005" w:tentative="1">
      <w:start w:val="1"/>
      <w:numFmt w:val="bullet"/>
      <w:lvlText w:val=""/>
      <w:lvlJc w:val="left"/>
      <w:pPr>
        <w:tabs>
          <w:tab w:val="num" w:pos="3249"/>
        </w:tabs>
        <w:ind w:left="3249" w:hanging="360"/>
      </w:pPr>
      <w:rPr>
        <w:rFonts w:ascii="Wingdings" w:hAnsi="Wingdings" w:hint="default"/>
      </w:rPr>
    </w:lvl>
    <w:lvl w:ilvl="6" w:tplc="0C090001" w:tentative="1">
      <w:start w:val="1"/>
      <w:numFmt w:val="bullet"/>
      <w:lvlText w:val=""/>
      <w:lvlJc w:val="left"/>
      <w:pPr>
        <w:tabs>
          <w:tab w:val="num" w:pos="3969"/>
        </w:tabs>
        <w:ind w:left="3969" w:hanging="360"/>
      </w:pPr>
      <w:rPr>
        <w:rFonts w:ascii="Symbol" w:hAnsi="Symbol" w:hint="default"/>
      </w:rPr>
    </w:lvl>
    <w:lvl w:ilvl="7" w:tplc="0C090003" w:tentative="1">
      <w:start w:val="1"/>
      <w:numFmt w:val="bullet"/>
      <w:lvlText w:val="o"/>
      <w:lvlJc w:val="left"/>
      <w:pPr>
        <w:tabs>
          <w:tab w:val="num" w:pos="4689"/>
        </w:tabs>
        <w:ind w:left="4689" w:hanging="360"/>
      </w:pPr>
      <w:rPr>
        <w:rFonts w:ascii="Courier New" w:hAnsi="Courier New" w:cs="Courier New" w:hint="default"/>
      </w:rPr>
    </w:lvl>
    <w:lvl w:ilvl="8" w:tplc="0C090005" w:tentative="1">
      <w:start w:val="1"/>
      <w:numFmt w:val="bullet"/>
      <w:lvlText w:val=""/>
      <w:lvlJc w:val="left"/>
      <w:pPr>
        <w:tabs>
          <w:tab w:val="num" w:pos="5409"/>
        </w:tabs>
        <w:ind w:left="5409"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20"/>
  </w:num>
  <w:num w:numId="10">
    <w:abstractNumId w:val="8"/>
  </w:num>
  <w:num w:numId="11">
    <w:abstractNumId w:val="11"/>
  </w:num>
  <w:num w:numId="12">
    <w:abstractNumId w:val="29"/>
  </w:num>
  <w:num w:numId="13">
    <w:abstractNumId w:val="19"/>
  </w:num>
  <w:num w:numId="14">
    <w:abstractNumId w:val="17"/>
  </w:num>
  <w:num w:numId="15">
    <w:abstractNumId w:val="9"/>
  </w:num>
  <w:num w:numId="16">
    <w:abstractNumId w:val="12"/>
  </w:num>
  <w:num w:numId="17">
    <w:abstractNumId w:val="21"/>
  </w:num>
  <w:num w:numId="18">
    <w:abstractNumId w:val="31"/>
  </w:num>
  <w:num w:numId="19">
    <w:abstractNumId w:val="26"/>
  </w:num>
  <w:num w:numId="20">
    <w:abstractNumId w:val="14"/>
  </w:num>
  <w:num w:numId="21">
    <w:abstractNumId w:val="23"/>
  </w:num>
  <w:num w:numId="22">
    <w:abstractNumId w:val="22"/>
  </w:num>
  <w:num w:numId="23">
    <w:abstractNumId w:val="10"/>
  </w:num>
  <w:num w:numId="24">
    <w:abstractNumId w:val="28"/>
  </w:num>
  <w:num w:numId="25">
    <w:abstractNumId w:val="13"/>
  </w:num>
  <w:num w:numId="26">
    <w:abstractNumId w:val="18"/>
  </w:num>
  <w:num w:numId="27">
    <w:abstractNumId w:val="27"/>
  </w:num>
  <w:num w:numId="28">
    <w:abstractNumId w:val="16"/>
  </w:num>
  <w:num w:numId="29">
    <w:abstractNumId w:val="30"/>
  </w:num>
  <w:num w:numId="30">
    <w:abstractNumId w:val="24"/>
  </w:num>
  <w:num w:numId="31">
    <w:abstractNumId w:val="15"/>
  </w:num>
  <w:num w:numId="32">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0"/>
  <w:noPunctuationKerning/>
  <w:characterSpacingControl w:val="doNotCompress"/>
  <w:hdrShapeDefaults>
    <o:shapedefaults v:ext="edit" spidmax="210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D5"/>
    <w:rsid w:val="00014138"/>
    <w:rsid w:val="0001547D"/>
    <w:rsid w:val="00015FF7"/>
    <w:rsid w:val="000160A8"/>
    <w:rsid w:val="00022302"/>
    <w:rsid w:val="00023EF3"/>
    <w:rsid w:val="00025B6C"/>
    <w:rsid w:val="00031801"/>
    <w:rsid w:val="0003276D"/>
    <w:rsid w:val="00035950"/>
    <w:rsid w:val="00050261"/>
    <w:rsid w:val="000526D8"/>
    <w:rsid w:val="00052A94"/>
    <w:rsid w:val="0005310F"/>
    <w:rsid w:val="0005490A"/>
    <w:rsid w:val="0006094D"/>
    <w:rsid w:val="00061820"/>
    <w:rsid w:val="00067884"/>
    <w:rsid w:val="00067B65"/>
    <w:rsid w:val="00070BA2"/>
    <w:rsid w:val="00073FE7"/>
    <w:rsid w:val="00076629"/>
    <w:rsid w:val="00082A50"/>
    <w:rsid w:val="0008735A"/>
    <w:rsid w:val="00095D5A"/>
    <w:rsid w:val="000A1AC8"/>
    <w:rsid w:val="000A1D90"/>
    <w:rsid w:val="000A21B7"/>
    <w:rsid w:val="000A58E6"/>
    <w:rsid w:val="000B2A00"/>
    <w:rsid w:val="000B2FBA"/>
    <w:rsid w:val="000B5BE0"/>
    <w:rsid w:val="000B6550"/>
    <w:rsid w:val="000C0BC2"/>
    <w:rsid w:val="000C34DE"/>
    <w:rsid w:val="000D2DFC"/>
    <w:rsid w:val="000D6984"/>
    <w:rsid w:val="000E0AA7"/>
    <w:rsid w:val="000E257B"/>
    <w:rsid w:val="000E3F1B"/>
    <w:rsid w:val="000E63F5"/>
    <w:rsid w:val="000F0C63"/>
    <w:rsid w:val="000F1A2E"/>
    <w:rsid w:val="000F59FD"/>
    <w:rsid w:val="000F7A32"/>
    <w:rsid w:val="00101B7B"/>
    <w:rsid w:val="00106F93"/>
    <w:rsid w:val="0011108D"/>
    <w:rsid w:val="00114712"/>
    <w:rsid w:val="00124384"/>
    <w:rsid w:val="00125CF0"/>
    <w:rsid w:val="00127B07"/>
    <w:rsid w:val="00127BF5"/>
    <w:rsid w:val="001357D2"/>
    <w:rsid w:val="001415A9"/>
    <w:rsid w:val="00142E72"/>
    <w:rsid w:val="00144D9F"/>
    <w:rsid w:val="001477F7"/>
    <w:rsid w:val="001521CC"/>
    <w:rsid w:val="00152BC8"/>
    <w:rsid w:val="001549A3"/>
    <w:rsid w:val="00155A35"/>
    <w:rsid w:val="0015791C"/>
    <w:rsid w:val="001611DC"/>
    <w:rsid w:val="00163B9E"/>
    <w:rsid w:val="0017398B"/>
    <w:rsid w:val="00173A50"/>
    <w:rsid w:val="00174A54"/>
    <w:rsid w:val="001801F3"/>
    <w:rsid w:val="00183BB9"/>
    <w:rsid w:val="00186083"/>
    <w:rsid w:val="0018750D"/>
    <w:rsid w:val="00192B70"/>
    <w:rsid w:val="00195990"/>
    <w:rsid w:val="001A4046"/>
    <w:rsid w:val="001A4720"/>
    <w:rsid w:val="001B3D06"/>
    <w:rsid w:val="001B5A60"/>
    <w:rsid w:val="001C05E3"/>
    <w:rsid w:val="001C220C"/>
    <w:rsid w:val="001C306C"/>
    <w:rsid w:val="001C4799"/>
    <w:rsid w:val="001D1CCD"/>
    <w:rsid w:val="001D2117"/>
    <w:rsid w:val="001D28BD"/>
    <w:rsid w:val="001D3AAE"/>
    <w:rsid w:val="001E7F2E"/>
    <w:rsid w:val="001F0980"/>
    <w:rsid w:val="001F5723"/>
    <w:rsid w:val="001F624C"/>
    <w:rsid w:val="002007E5"/>
    <w:rsid w:val="00202B3F"/>
    <w:rsid w:val="002036C7"/>
    <w:rsid w:val="00203B86"/>
    <w:rsid w:val="00204C0B"/>
    <w:rsid w:val="00204F6A"/>
    <w:rsid w:val="00206CC0"/>
    <w:rsid w:val="00206EA7"/>
    <w:rsid w:val="00211992"/>
    <w:rsid w:val="00213F17"/>
    <w:rsid w:val="002175B3"/>
    <w:rsid w:val="00225B90"/>
    <w:rsid w:val="00231253"/>
    <w:rsid w:val="00237FF6"/>
    <w:rsid w:val="00241065"/>
    <w:rsid w:val="002439AA"/>
    <w:rsid w:val="00245292"/>
    <w:rsid w:val="00246900"/>
    <w:rsid w:val="002479EF"/>
    <w:rsid w:val="002524F7"/>
    <w:rsid w:val="002546CB"/>
    <w:rsid w:val="002550F3"/>
    <w:rsid w:val="00264FC0"/>
    <w:rsid w:val="00270D3C"/>
    <w:rsid w:val="0027190D"/>
    <w:rsid w:val="002729BE"/>
    <w:rsid w:val="0028016D"/>
    <w:rsid w:val="0028223D"/>
    <w:rsid w:val="0028503C"/>
    <w:rsid w:val="002930F5"/>
    <w:rsid w:val="00295CD7"/>
    <w:rsid w:val="002970FD"/>
    <w:rsid w:val="0029763F"/>
    <w:rsid w:val="00297ECD"/>
    <w:rsid w:val="002A56FA"/>
    <w:rsid w:val="002B0478"/>
    <w:rsid w:val="002B2BD0"/>
    <w:rsid w:val="002B3B3E"/>
    <w:rsid w:val="002B4094"/>
    <w:rsid w:val="002C1405"/>
    <w:rsid w:val="002C1B00"/>
    <w:rsid w:val="002C286A"/>
    <w:rsid w:val="002C4A38"/>
    <w:rsid w:val="002C5B91"/>
    <w:rsid w:val="002D06BD"/>
    <w:rsid w:val="002D23D8"/>
    <w:rsid w:val="002D27E8"/>
    <w:rsid w:val="002D7201"/>
    <w:rsid w:val="002E02ED"/>
    <w:rsid w:val="002E0752"/>
    <w:rsid w:val="002E0905"/>
    <w:rsid w:val="002E1B14"/>
    <w:rsid w:val="002E4A0F"/>
    <w:rsid w:val="002E67E0"/>
    <w:rsid w:val="002F3B86"/>
    <w:rsid w:val="002F45B7"/>
    <w:rsid w:val="00300214"/>
    <w:rsid w:val="0030141A"/>
    <w:rsid w:val="0030172E"/>
    <w:rsid w:val="00301871"/>
    <w:rsid w:val="00303EBA"/>
    <w:rsid w:val="00305615"/>
    <w:rsid w:val="003113AF"/>
    <w:rsid w:val="00314232"/>
    <w:rsid w:val="0031458C"/>
    <w:rsid w:val="00314D15"/>
    <w:rsid w:val="0031779B"/>
    <w:rsid w:val="00323F27"/>
    <w:rsid w:val="00325592"/>
    <w:rsid w:val="003377A4"/>
    <w:rsid w:val="00343454"/>
    <w:rsid w:val="00347789"/>
    <w:rsid w:val="00353023"/>
    <w:rsid w:val="003561E6"/>
    <w:rsid w:val="003657B2"/>
    <w:rsid w:val="00365BCC"/>
    <w:rsid w:val="00370190"/>
    <w:rsid w:val="00375F03"/>
    <w:rsid w:val="00376E5C"/>
    <w:rsid w:val="00383AE2"/>
    <w:rsid w:val="00383FC0"/>
    <w:rsid w:val="00385D6D"/>
    <w:rsid w:val="00386D8A"/>
    <w:rsid w:val="003875A1"/>
    <w:rsid w:val="003964AC"/>
    <w:rsid w:val="003B2DAF"/>
    <w:rsid w:val="003B2FC3"/>
    <w:rsid w:val="003B3620"/>
    <w:rsid w:val="003B47FE"/>
    <w:rsid w:val="003B63DA"/>
    <w:rsid w:val="003B649B"/>
    <w:rsid w:val="003C080D"/>
    <w:rsid w:val="003C1036"/>
    <w:rsid w:val="003C28AF"/>
    <w:rsid w:val="003C311C"/>
    <w:rsid w:val="003C6C1A"/>
    <w:rsid w:val="003D1A25"/>
    <w:rsid w:val="003D4BFD"/>
    <w:rsid w:val="003D5581"/>
    <w:rsid w:val="003D7103"/>
    <w:rsid w:val="003E773B"/>
    <w:rsid w:val="003F4F35"/>
    <w:rsid w:val="003F5D89"/>
    <w:rsid w:val="00401312"/>
    <w:rsid w:val="00403DF9"/>
    <w:rsid w:val="004100BB"/>
    <w:rsid w:val="0041092D"/>
    <w:rsid w:val="00410C08"/>
    <w:rsid w:val="004122B0"/>
    <w:rsid w:val="00415364"/>
    <w:rsid w:val="00416B4A"/>
    <w:rsid w:val="00417165"/>
    <w:rsid w:val="00420AF3"/>
    <w:rsid w:val="0042134B"/>
    <w:rsid w:val="0042278E"/>
    <w:rsid w:val="0042411A"/>
    <w:rsid w:val="00433602"/>
    <w:rsid w:val="00435FEC"/>
    <w:rsid w:val="00436533"/>
    <w:rsid w:val="00436A9C"/>
    <w:rsid w:val="00443B3B"/>
    <w:rsid w:val="004519E2"/>
    <w:rsid w:val="00451C10"/>
    <w:rsid w:val="00452520"/>
    <w:rsid w:val="004528B7"/>
    <w:rsid w:val="00455355"/>
    <w:rsid w:val="00456A06"/>
    <w:rsid w:val="00462A44"/>
    <w:rsid w:val="00463E91"/>
    <w:rsid w:val="00463E9E"/>
    <w:rsid w:val="00471A2F"/>
    <w:rsid w:val="00473B1A"/>
    <w:rsid w:val="0047499C"/>
    <w:rsid w:val="00474C02"/>
    <w:rsid w:val="00477A37"/>
    <w:rsid w:val="00484FE1"/>
    <w:rsid w:val="004853EF"/>
    <w:rsid w:val="004856E6"/>
    <w:rsid w:val="004946CE"/>
    <w:rsid w:val="004A1342"/>
    <w:rsid w:val="004A1E1C"/>
    <w:rsid w:val="004A70A0"/>
    <w:rsid w:val="004B290D"/>
    <w:rsid w:val="004B4388"/>
    <w:rsid w:val="004C0156"/>
    <w:rsid w:val="004C5FD0"/>
    <w:rsid w:val="004C61E4"/>
    <w:rsid w:val="004C683D"/>
    <w:rsid w:val="004D484D"/>
    <w:rsid w:val="004D4B77"/>
    <w:rsid w:val="004D6D02"/>
    <w:rsid w:val="004E60F5"/>
    <w:rsid w:val="004E66A7"/>
    <w:rsid w:val="004E6C3E"/>
    <w:rsid w:val="004F17E6"/>
    <w:rsid w:val="004F3367"/>
    <w:rsid w:val="004F52EA"/>
    <w:rsid w:val="0050065A"/>
    <w:rsid w:val="00500BCF"/>
    <w:rsid w:val="0050281E"/>
    <w:rsid w:val="00503121"/>
    <w:rsid w:val="0050662A"/>
    <w:rsid w:val="00506FE2"/>
    <w:rsid w:val="0050744A"/>
    <w:rsid w:val="005075F4"/>
    <w:rsid w:val="0051791C"/>
    <w:rsid w:val="005205A0"/>
    <w:rsid w:val="00522149"/>
    <w:rsid w:val="00522E2D"/>
    <w:rsid w:val="00526327"/>
    <w:rsid w:val="005358CE"/>
    <w:rsid w:val="005449A6"/>
    <w:rsid w:val="00546662"/>
    <w:rsid w:val="00551EF4"/>
    <w:rsid w:val="00554055"/>
    <w:rsid w:val="0055495A"/>
    <w:rsid w:val="00562B5D"/>
    <w:rsid w:val="005635DB"/>
    <w:rsid w:val="00567941"/>
    <w:rsid w:val="00570197"/>
    <w:rsid w:val="00570224"/>
    <w:rsid w:val="005724CF"/>
    <w:rsid w:val="00573A9C"/>
    <w:rsid w:val="005755F1"/>
    <w:rsid w:val="00576324"/>
    <w:rsid w:val="00576434"/>
    <w:rsid w:val="005835B0"/>
    <w:rsid w:val="0058486E"/>
    <w:rsid w:val="005950AA"/>
    <w:rsid w:val="00596376"/>
    <w:rsid w:val="00597ABB"/>
    <w:rsid w:val="005A52EC"/>
    <w:rsid w:val="005A7116"/>
    <w:rsid w:val="005B012A"/>
    <w:rsid w:val="005B0783"/>
    <w:rsid w:val="005B46C3"/>
    <w:rsid w:val="005B4E07"/>
    <w:rsid w:val="005B68A8"/>
    <w:rsid w:val="005B7C7E"/>
    <w:rsid w:val="005C7114"/>
    <w:rsid w:val="005D0325"/>
    <w:rsid w:val="005D050C"/>
    <w:rsid w:val="005D5E60"/>
    <w:rsid w:val="005D7540"/>
    <w:rsid w:val="005E180D"/>
    <w:rsid w:val="005E5759"/>
    <w:rsid w:val="005E5929"/>
    <w:rsid w:val="005E64E2"/>
    <w:rsid w:val="005E68AA"/>
    <w:rsid w:val="005F1177"/>
    <w:rsid w:val="005F134A"/>
    <w:rsid w:val="005F5034"/>
    <w:rsid w:val="005F5DB7"/>
    <w:rsid w:val="005F7C73"/>
    <w:rsid w:val="00601111"/>
    <w:rsid w:val="00603705"/>
    <w:rsid w:val="006037A9"/>
    <w:rsid w:val="00607709"/>
    <w:rsid w:val="00612209"/>
    <w:rsid w:val="0061276C"/>
    <w:rsid w:val="006133E7"/>
    <w:rsid w:val="00614C33"/>
    <w:rsid w:val="006201A9"/>
    <w:rsid w:val="00621DBE"/>
    <w:rsid w:val="00624092"/>
    <w:rsid w:val="00626EB6"/>
    <w:rsid w:val="00633D71"/>
    <w:rsid w:val="0063576B"/>
    <w:rsid w:val="00640F31"/>
    <w:rsid w:val="0065015E"/>
    <w:rsid w:val="0065050B"/>
    <w:rsid w:val="00652FDD"/>
    <w:rsid w:val="00666963"/>
    <w:rsid w:val="00670F3E"/>
    <w:rsid w:val="00676E69"/>
    <w:rsid w:val="0068514C"/>
    <w:rsid w:val="00691176"/>
    <w:rsid w:val="00693931"/>
    <w:rsid w:val="0069439E"/>
    <w:rsid w:val="006947D6"/>
    <w:rsid w:val="00695055"/>
    <w:rsid w:val="006954BF"/>
    <w:rsid w:val="006A0468"/>
    <w:rsid w:val="006A1684"/>
    <w:rsid w:val="006B11CB"/>
    <w:rsid w:val="006B13AA"/>
    <w:rsid w:val="006C236F"/>
    <w:rsid w:val="006C4D86"/>
    <w:rsid w:val="006C5484"/>
    <w:rsid w:val="006C5D87"/>
    <w:rsid w:val="006D1046"/>
    <w:rsid w:val="006D1222"/>
    <w:rsid w:val="006D2EE7"/>
    <w:rsid w:val="006D343D"/>
    <w:rsid w:val="006D4789"/>
    <w:rsid w:val="006D606B"/>
    <w:rsid w:val="006E14AA"/>
    <w:rsid w:val="006E293D"/>
    <w:rsid w:val="006E2F3A"/>
    <w:rsid w:val="006E3576"/>
    <w:rsid w:val="007020D5"/>
    <w:rsid w:val="007022A6"/>
    <w:rsid w:val="00703F1E"/>
    <w:rsid w:val="00707E8E"/>
    <w:rsid w:val="0071676B"/>
    <w:rsid w:val="007233F6"/>
    <w:rsid w:val="00723736"/>
    <w:rsid w:val="00724682"/>
    <w:rsid w:val="00725DB8"/>
    <w:rsid w:val="00731958"/>
    <w:rsid w:val="00735CEF"/>
    <w:rsid w:val="00736F99"/>
    <w:rsid w:val="007403DE"/>
    <w:rsid w:val="00740F72"/>
    <w:rsid w:val="00744630"/>
    <w:rsid w:val="00747CED"/>
    <w:rsid w:val="0075595F"/>
    <w:rsid w:val="00760F37"/>
    <w:rsid w:val="00761649"/>
    <w:rsid w:val="00766C88"/>
    <w:rsid w:val="00767CAA"/>
    <w:rsid w:val="00772E38"/>
    <w:rsid w:val="0077682B"/>
    <w:rsid w:val="00785E3C"/>
    <w:rsid w:val="007912C7"/>
    <w:rsid w:val="007930A3"/>
    <w:rsid w:val="007958DF"/>
    <w:rsid w:val="00796151"/>
    <w:rsid w:val="00797C96"/>
    <w:rsid w:val="007A06EF"/>
    <w:rsid w:val="007A14A5"/>
    <w:rsid w:val="007A3823"/>
    <w:rsid w:val="007A4D73"/>
    <w:rsid w:val="007A64D1"/>
    <w:rsid w:val="007A7417"/>
    <w:rsid w:val="007B2B5A"/>
    <w:rsid w:val="007B6589"/>
    <w:rsid w:val="007C037F"/>
    <w:rsid w:val="007C3402"/>
    <w:rsid w:val="007C4EE8"/>
    <w:rsid w:val="007C5DFC"/>
    <w:rsid w:val="007D105D"/>
    <w:rsid w:val="007D6B43"/>
    <w:rsid w:val="007D6B60"/>
    <w:rsid w:val="007D700F"/>
    <w:rsid w:val="007E1037"/>
    <w:rsid w:val="007E6FDE"/>
    <w:rsid w:val="007F0629"/>
    <w:rsid w:val="007F5F06"/>
    <w:rsid w:val="00800C62"/>
    <w:rsid w:val="00802F4D"/>
    <w:rsid w:val="00803534"/>
    <w:rsid w:val="00806615"/>
    <w:rsid w:val="008077A4"/>
    <w:rsid w:val="00807CD5"/>
    <w:rsid w:val="00811B78"/>
    <w:rsid w:val="00812358"/>
    <w:rsid w:val="00813AC8"/>
    <w:rsid w:val="008238C8"/>
    <w:rsid w:val="00827B14"/>
    <w:rsid w:val="00836796"/>
    <w:rsid w:val="0083791B"/>
    <w:rsid w:val="00850112"/>
    <w:rsid w:val="00850B7C"/>
    <w:rsid w:val="00852013"/>
    <w:rsid w:val="00855241"/>
    <w:rsid w:val="00857B3E"/>
    <w:rsid w:val="008618BA"/>
    <w:rsid w:val="00861A96"/>
    <w:rsid w:val="00861E85"/>
    <w:rsid w:val="00862BB1"/>
    <w:rsid w:val="00865D7E"/>
    <w:rsid w:val="00870AC2"/>
    <w:rsid w:val="0087583B"/>
    <w:rsid w:val="00881239"/>
    <w:rsid w:val="00883F6D"/>
    <w:rsid w:val="008857F0"/>
    <w:rsid w:val="008864F7"/>
    <w:rsid w:val="00892B1B"/>
    <w:rsid w:val="0089549D"/>
    <w:rsid w:val="00895535"/>
    <w:rsid w:val="00897D83"/>
    <w:rsid w:val="008A0CE2"/>
    <w:rsid w:val="008B31B0"/>
    <w:rsid w:val="008B3237"/>
    <w:rsid w:val="008B3EF2"/>
    <w:rsid w:val="008B643C"/>
    <w:rsid w:val="008C0E2E"/>
    <w:rsid w:val="008C1BC0"/>
    <w:rsid w:val="008C47AF"/>
    <w:rsid w:val="008C659A"/>
    <w:rsid w:val="008D23AE"/>
    <w:rsid w:val="008D38EA"/>
    <w:rsid w:val="008D7B5D"/>
    <w:rsid w:val="008E41CD"/>
    <w:rsid w:val="008E772A"/>
    <w:rsid w:val="008F0E0B"/>
    <w:rsid w:val="008F1F6A"/>
    <w:rsid w:val="008F3769"/>
    <w:rsid w:val="008F3BD7"/>
    <w:rsid w:val="008F51AC"/>
    <w:rsid w:val="00900452"/>
    <w:rsid w:val="009013EE"/>
    <w:rsid w:val="00901D98"/>
    <w:rsid w:val="00903702"/>
    <w:rsid w:val="00904074"/>
    <w:rsid w:val="00905643"/>
    <w:rsid w:val="009078F7"/>
    <w:rsid w:val="0091603A"/>
    <w:rsid w:val="009172E6"/>
    <w:rsid w:val="00920CEF"/>
    <w:rsid w:val="0092161B"/>
    <w:rsid w:val="0092290A"/>
    <w:rsid w:val="009231A4"/>
    <w:rsid w:val="00932453"/>
    <w:rsid w:val="009336AD"/>
    <w:rsid w:val="00936965"/>
    <w:rsid w:val="009417B1"/>
    <w:rsid w:val="00942AC6"/>
    <w:rsid w:val="00942CD5"/>
    <w:rsid w:val="009472AC"/>
    <w:rsid w:val="00951CB4"/>
    <w:rsid w:val="009529CB"/>
    <w:rsid w:val="009615B4"/>
    <w:rsid w:val="00964497"/>
    <w:rsid w:val="0096509D"/>
    <w:rsid w:val="0096597E"/>
    <w:rsid w:val="009675CF"/>
    <w:rsid w:val="00972008"/>
    <w:rsid w:val="00973C50"/>
    <w:rsid w:val="00985BA6"/>
    <w:rsid w:val="00986D0B"/>
    <w:rsid w:val="00991435"/>
    <w:rsid w:val="009914B9"/>
    <w:rsid w:val="00993E8E"/>
    <w:rsid w:val="00994114"/>
    <w:rsid w:val="009941C4"/>
    <w:rsid w:val="009A2885"/>
    <w:rsid w:val="009B3C03"/>
    <w:rsid w:val="009B41BD"/>
    <w:rsid w:val="009C4CB5"/>
    <w:rsid w:val="009C584D"/>
    <w:rsid w:val="009C5D93"/>
    <w:rsid w:val="009D0966"/>
    <w:rsid w:val="009D2EBD"/>
    <w:rsid w:val="009D4D7C"/>
    <w:rsid w:val="009E038E"/>
    <w:rsid w:val="009E234C"/>
    <w:rsid w:val="009E7647"/>
    <w:rsid w:val="009F64E2"/>
    <w:rsid w:val="009F67E6"/>
    <w:rsid w:val="00A021FB"/>
    <w:rsid w:val="00A07B37"/>
    <w:rsid w:val="00A07CD3"/>
    <w:rsid w:val="00A1307D"/>
    <w:rsid w:val="00A21249"/>
    <w:rsid w:val="00A238DA"/>
    <w:rsid w:val="00A25030"/>
    <w:rsid w:val="00A27441"/>
    <w:rsid w:val="00A31307"/>
    <w:rsid w:val="00A32E8B"/>
    <w:rsid w:val="00A40C23"/>
    <w:rsid w:val="00A42F7A"/>
    <w:rsid w:val="00A5247B"/>
    <w:rsid w:val="00A535BF"/>
    <w:rsid w:val="00A55F99"/>
    <w:rsid w:val="00A56375"/>
    <w:rsid w:val="00A61540"/>
    <w:rsid w:val="00A61EE2"/>
    <w:rsid w:val="00A620CF"/>
    <w:rsid w:val="00A62D91"/>
    <w:rsid w:val="00A7026B"/>
    <w:rsid w:val="00A70EC6"/>
    <w:rsid w:val="00A7296E"/>
    <w:rsid w:val="00A73902"/>
    <w:rsid w:val="00A805B6"/>
    <w:rsid w:val="00A910CD"/>
    <w:rsid w:val="00A91740"/>
    <w:rsid w:val="00A9260E"/>
    <w:rsid w:val="00AA2E22"/>
    <w:rsid w:val="00AB26A5"/>
    <w:rsid w:val="00AB556B"/>
    <w:rsid w:val="00AC299C"/>
    <w:rsid w:val="00AD2BE3"/>
    <w:rsid w:val="00AD3664"/>
    <w:rsid w:val="00AD6087"/>
    <w:rsid w:val="00AE332B"/>
    <w:rsid w:val="00AE7F59"/>
    <w:rsid w:val="00B0161F"/>
    <w:rsid w:val="00B049B1"/>
    <w:rsid w:val="00B10CD1"/>
    <w:rsid w:val="00B24F9F"/>
    <w:rsid w:val="00B254DD"/>
    <w:rsid w:val="00B25C3A"/>
    <w:rsid w:val="00B25C4C"/>
    <w:rsid w:val="00B2663C"/>
    <w:rsid w:val="00B27570"/>
    <w:rsid w:val="00B277E6"/>
    <w:rsid w:val="00B27E6E"/>
    <w:rsid w:val="00B30234"/>
    <w:rsid w:val="00B32D13"/>
    <w:rsid w:val="00B33767"/>
    <w:rsid w:val="00B34E43"/>
    <w:rsid w:val="00B359AA"/>
    <w:rsid w:val="00B37A6E"/>
    <w:rsid w:val="00B42177"/>
    <w:rsid w:val="00B428EC"/>
    <w:rsid w:val="00B4567A"/>
    <w:rsid w:val="00B47A22"/>
    <w:rsid w:val="00B505DF"/>
    <w:rsid w:val="00B51668"/>
    <w:rsid w:val="00B52CD3"/>
    <w:rsid w:val="00B540B6"/>
    <w:rsid w:val="00B541ED"/>
    <w:rsid w:val="00B5509F"/>
    <w:rsid w:val="00B61842"/>
    <w:rsid w:val="00B61E6D"/>
    <w:rsid w:val="00B64BBE"/>
    <w:rsid w:val="00B65338"/>
    <w:rsid w:val="00B6629A"/>
    <w:rsid w:val="00B670A5"/>
    <w:rsid w:val="00B670BF"/>
    <w:rsid w:val="00B7217C"/>
    <w:rsid w:val="00B75525"/>
    <w:rsid w:val="00B76A13"/>
    <w:rsid w:val="00B83402"/>
    <w:rsid w:val="00B838C2"/>
    <w:rsid w:val="00B85E7F"/>
    <w:rsid w:val="00BA0B58"/>
    <w:rsid w:val="00BA2C7C"/>
    <w:rsid w:val="00BA4CA8"/>
    <w:rsid w:val="00BA4DB4"/>
    <w:rsid w:val="00BB0362"/>
    <w:rsid w:val="00BB2577"/>
    <w:rsid w:val="00BC0D85"/>
    <w:rsid w:val="00BC3B18"/>
    <w:rsid w:val="00BC4EE8"/>
    <w:rsid w:val="00BD1F9C"/>
    <w:rsid w:val="00BD2D3D"/>
    <w:rsid w:val="00BD6592"/>
    <w:rsid w:val="00BD7A0B"/>
    <w:rsid w:val="00BE1570"/>
    <w:rsid w:val="00BE2B62"/>
    <w:rsid w:val="00BE5F44"/>
    <w:rsid w:val="00BE7185"/>
    <w:rsid w:val="00BE7582"/>
    <w:rsid w:val="00BF23AF"/>
    <w:rsid w:val="00BF49BE"/>
    <w:rsid w:val="00C0058D"/>
    <w:rsid w:val="00C01A44"/>
    <w:rsid w:val="00C03ABA"/>
    <w:rsid w:val="00C0439E"/>
    <w:rsid w:val="00C06E34"/>
    <w:rsid w:val="00C10C0F"/>
    <w:rsid w:val="00C12DBE"/>
    <w:rsid w:val="00C16D81"/>
    <w:rsid w:val="00C2294D"/>
    <w:rsid w:val="00C25479"/>
    <w:rsid w:val="00C27600"/>
    <w:rsid w:val="00C335DD"/>
    <w:rsid w:val="00C33875"/>
    <w:rsid w:val="00C34FBC"/>
    <w:rsid w:val="00C3606C"/>
    <w:rsid w:val="00C47338"/>
    <w:rsid w:val="00C5040A"/>
    <w:rsid w:val="00C50FAA"/>
    <w:rsid w:val="00C51ED4"/>
    <w:rsid w:val="00C527FB"/>
    <w:rsid w:val="00C52FE3"/>
    <w:rsid w:val="00C640C1"/>
    <w:rsid w:val="00C64141"/>
    <w:rsid w:val="00C64F8C"/>
    <w:rsid w:val="00C65462"/>
    <w:rsid w:val="00C66FE5"/>
    <w:rsid w:val="00C709B0"/>
    <w:rsid w:val="00C75B6B"/>
    <w:rsid w:val="00C773BA"/>
    <w:rsid w:val="00C80B91"/>
    <w:rsid w:val="00C86BEB"/>
    <w:rsid w:val="00C93155"/>
    <w:rsid w:val="00C963F2"/>
    <w:rsid w:val="00CB00EA"/>
    <w:rsid w:val="00CB0938"/>
    <w:rsid w:val="00CB0E08"/>
    <w:rsid w:val="00CB2A55"/>
    <w:rsid w:val="00CB7EB4"/>
    <w:rsid w:val="00CC593C"/>
    <w:rsid w:val="00CE6A00"/>
    <w:rsid w:val="00CF126C"/>
    <w:rsid w:val="00CF332F"/>
    <w:rsid w:val="00CF3B42"/>
    <w:rsid w:val="00CF41B2"/>
    <w:rsid w:val="00CF464D"/>
    <w:rsid w:val="00D0021F"/>
    <w:rsid w:val="00D034E8"/>
    <w:rsid w:val="00D10769"/>
    <w:rsid w:val="00D1097A"/>
    <w:rsid w:val="00D135D5"/>
    <w:rsid w:val="00D13958"/>
    <w:rsid w:val="00D15C4B"/>
    <w:rsid w:val="00D15C76"/>
    <w:rsid w:val="00D20368"/>
    <w:rsid w:val="00D217A0"/>
    <w:rsid w:val="00D2500E"/>
    <w:rsid w:val="00D2567F"/>
    <w:rsid w:val="00D27E25"/>
    <w:rsid w:val="00D30E6D"/>
    <w:rsid w:val="00D31C7F"/>
    <w:rsid w:val="00D33C61"/>
    <w:rsid w:val="00D4231C"/>
    <w:rsid w:val="00D4377E"/>
    <w:rsid w:val="00D44B45"/>
    <w:rsid w:val="00D5164F"/>
    <w:rsid w:val="00D5399D"/>
    <w:rsid w:val="00D54335"/>
    <w:rsid w:val="00D5542D"/>
    <w:rsid w:val="00D57C8A"/>
    <w:rsid w:val="00D648B3"/>
    <w:rsid w:val="00D76963"/>
    <w:rsid w:val="00D76B37"/>
    <w:rsid w:val="00D77018"/>
    <w:rsid w:val="00D8079D"/>
    <w:rsid w:val="00D84D10"/>
    <w:rsid w:val="00D84E7E"/>
    <w:rsid w:val="00D85719"/>
    <w:rsid w:val="00D913B0"/>
    <w:rsid w:val="00D975E5"/>
    <w:rsid w:val="00DA359A"/>
    <w:rsid w:val="00DA58C3"/>
    <w:rsid w:val="00DA604C"/>
    <w:rsid w:val="00DA74EA"/>
    <w:rsid w:val="00DA7728"/>
    <w:rsid w:val="00DB2FDA"/>
    <w:rsid w:val="00DB31F5"/>
    <w:rsid w:val="00DB4CEC"/>
    <w:rsid w:val="00DB6FF1"/>
    <w:rsid w:val="00DC1022"/>
    <w:rsid w:val="00DC1B43"/>
    <w:rsid w:val="00DC3D20"/>
    <w:rsid w:val="00DD1099"/>
    <w:rsid w:val="00DD372B"/>
    <w:rsid w:val="00DD3997"/>
    <w:rsid w:val="00DD4F1A"/>
    <w:rsid w:val="00DD4F22"/>
    <w:rsid w:val="00DD538D"/>
    <w:rsid w:val="00DD7800"/>
    <w:rsid w:val="00DD7A5A"/>
    <w:rsid w:val="00DE0E86"/>
    <w:rsid w:val="00DE2BB0"/>
    <w:rsid w:val="00DE459C"/>
    <w:rsid w:val="00DF09A4"/>
    <w:rsid w:val="00DF4CF1"/>
    <w:rsid w:val="00DF65EC"/>
    <w:rsid w:val="00DF7BE7"/>
    <w:rsid w:val="00E03682"/>
    <w:rsid w:val="00E040F1"/>
    <w:rsid w:val="00E05B97"/>
    <w:rsid w:val="00E07369"/>
    <w:rsid w:val="00E14DE6"/>
    <w:rsid w:val="00E20904"/>
    <w:rsid w:val="00E21486"/>
    <w:rsid w:val="00E2261F"/>
    <w:rsid w:val="00E25952"/>
    <w:rsid w:val="00E351C1"/>
    <w:rsid w:val="00E47A14"/>
    <w:rsid w:val="00E50753"/>
    <w:rsid w:val="00E5354B"/>
    <w:rsid w:val="00E62833"/>
    <w:rsid w:val="00E62F67"/>
    <w:rsid w:val="00E6314F"/>
    <w:rsid w:val="00E66A34"/>
    <w:rsid w:val="00E74CB6"/>
    <w:rsid w:val="00E76111"/>
    <w:rsid w:val="00E8143E"/>
    <w:rsid w:val="00E818EA"/>
    <w:rsid w:val="00E8204E"/>
    <w:rsid w:val="00E84FB1"/>
    <w:rsid w:val="00E85B24"/>
    <w:rsid w:val="00E86CC9"/>
    <w:rsid w:val="00E86F6C"/>
    <w:rsid w:val="00E902BF"/>
    <w:rsid w:val="00EA3DF9"/>
    <w:rsid w:val="00EA77C4"/>
    <w:rsid w:val="00EB41ED"/>
    <w:rsid w:val="00EB52D3"/>
    <w:rsid w:val="00EB5DD5"/>
    <w:rsid w:val="00EC18FB"/>
    <w:rsid w:val="00EC37D7"/>
    <w:rsid w:val="00EC68C7"/>
    <w:rsid w:val="00EC79B2"/>
    <w:rsid w:val="00ED20E7"/>
    <w:rsid w:val="00ED2578"/>
    <w:rsid w:val="00EE37BE"/>
    <w:rsid w:val="00EE41A3"/>
    <w:rsid w:val="00EE4FD1"/>
    <w:rsid w:val="00EE6D6B"/>
    <w:rsid w:val="00EF07D6"/>
    <w:rsid w:val="00EF2ADA"/>
    <w:rsid w:val="00EF701A"/>
    <w:rsid w:val="00F10C98"/>
    <w:rsid w:val="00F15572"/>
    <w:rsid w:val="00F2676E"/>
    <w:rsid w:val="00F33D55"/>
    <w:rsid w:val="00F3565B"/>
    <w:rsid w:val="00F35A3F"/>
    <w:rsid w:val="00F3603A"/>
    <w:rsid w:val="00F43456"/>
    <w:rsid w:val="00F46A66"/>
    <w:rsid w:val="00F5008F"/>
    <w:rsid w:val="00F50BA8"/>
    <w:rsid w:val="00F51C3D"/>
    <w:rsid w:val="00F51D0D"/>
    <w:rsid w:val="00F5457B"/>
    <w:rsid w:val="00F564E3"/>
    <w:rsid w:val="00F56D95"/>
    <w:rsid w:val="00F57964"/>
    <w:rsid w:val="00F6393E"/>
    <w:rsid w:val="00F6778E"/>
    <w:rsid w:val="00F714A9"/>
    <w:rsid w:val="00F71F0A"/>
    <w:rsid w:val="00F76A96"/>
    <w:rsid w:val="00F7728A"/>
    <w:rsid w:val="00F80674"/>
    <w:rsid w:val="00F85EFC"/>
    <w:rsid w:val="00F8642E"/>
    <w:rsid w:val="00F87741"/>
    <w:rsid w:val="00F91A74"/>
    <w:rsid w:val="00F9363C"/>
    <w:rsid w:val="00F95E0B"/>
    <w:rsid w:val="00F97706"/>
    <w:rsid w:val="00FA0DE7"/>
    <w:rsid w:val="00FA2C84"/>
    <w:rsid w:val="00FA520E"/>
    <w:rsid w:val="00FC0F05"/>
    <w:rsid w:val="00FC1548"/>
    <w:rsid w:val="00FD3F64"/>
    <w:rsid w:val="00FD48D6"/>
    <w:rsid w:val="00FD5C7E"/>
    <w:rsid w:val="00FE1ECF"/>
    <w:rsid w:val="00FF0E3C"/>
    <w:rsid w:val="00FF2183"/>
    <w:rsid w:val="00FF2ACC"/>
    <w:rsid w:val="00FF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o:shapelayout v:ext="edit">
      <o:idmap v:ext="edit" data="1"/>
    </o:shapelayout>
  </w:shapeDefaults>
  <w:decimalSymbol w:val="."/>
  <w:listSeparator w:val=","/>
  <w15:docId w15:val="{DEE0A140-5360-4D8A-9109-D4BC8AF4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Arial"/>
        <w:sz w:val="24"/>
        <w:szCs w:val="24"/>
        <w:lang w:val="en-US" w:eastAsia="en-US" w:bidi="ar-SA"/>
      </w:rPr>
    </w:rPrDefault>
    <w:pPrDefault>
      <w:pPr>
        <w:spacing w:before="120" w:after="360" w:line="360" w:lineRule="auto"/>
      </w:pPr>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locked="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locked="0"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lsdException w:name="List 2" w:locked="0" w:semiHidden="1" w:unhideWhenUsed="1"/>
    <w:lsdException w:name="List 3" w:locked="0" w:semiHidden="1" w:unhideWhenUsed="1"/>
    <w:lsdException w:name="List 4" w:locked="0"/>
    <w:lsdException w:name="List 5" w:locked="0"/>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semiHidden="1" w:unhideWhenUsed="1"/>
    <w:lsdException w:name="Message Header" w:locked="0" w:semiHidden="1" w:unhideWhenUsed="1"/>
    <w:lsdException w:name="Subtitle" w:locked="0"/>
    <w:lsdException w:name="Salutation" w:locked="0"/>
    <w:lsdException w:name="Date" w:locked="0"/>
    <w:lsdException w:name="Body Text First Indent" w:locked="0"/>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99" w:unhideWhenUsed="1"/>
    <w:lsdException w:name="FollowedHyperlink" w:locked="0" w:semiHidden="1" w:unhideWhenUsed="1"/>
    <w:lsdException w:name="Strong" w:locked="0"/>
    <w:lsdException w:name="Emphasis" w:locked="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locked="0"/>
    <w:lsdException w:name="Table Theme" w:locked="0"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177"/>
    <w:rPr>
      <w:rFonts w:ascii="Arial" w:hAnsi="Arial"/>
      <w:lang w:val="en-AU"/>
    </w:rPr>
  </w:style>
  <w:style w:type="paragraph" w:styleId="Heading1">
    <w:name w:val="heading 1"/>
    <w:basedOn w:val="Normal"/>
    <w:next w:val="Normal"/>
    <w:qFormat/>
    <w:rsid w:val="00A238DA"/>
    <w:pPr>
      <w:keepNext/>
      <w:keepLines/>
      <w:numPr>
        <w:numId w:val="9"/>
      </w:numPr>
      <w:spacing w:after="120"/>
      <w:ind w:left="431" w:hanging="431"/>
      <w:outlineLvl w:val="0"/>
    </w:pPr>
    <w:rPr>
      <w:b/>
      <w:bCs/>
      <w:caps/>
      <w:color w:val="00427A"/>
      <w:kern w:val="32"/>
      <w:sz w:val="32"/>
      <w:szCs w:val="28"/>
    </w:rPr>
  </w:style>
  <w:style w:type="paragraph" w:styleId="Heading2">
    <w:name w:val="heading 2"/>
    <w:basedOn w:val="Normal"/>
    <w:next w:val="Normal"/>
    <w:qFormat/>
    <w:rsid w:val="00A238DA"/>
    <w:pPr>
      <w:keepNext/>
      <w:keepLines/>
      <w:numPr>
        <w:ilvl w:val="1"/>
        <w:numId w:val="9"/>
      </w:numPr>
      <w:tabs>
        <w:tab w:val="clear" w:pos="576"/>
        <w:tab w:val="left" w:pos="851"/>
      </w:tabs>
      <w:spacing w:after="120"/>
      <w:ind w:left="851" w:hanging="851"/>
      <w:outlineLvl w:val="1"/>
    </w:pPr>
    <w:rPr>
      <w:b/>
      <w:i/>
      <w:color w:val="00427A"/>
      <w:sz w:val="28"/>
      <w:szCs w:val="26"/>
    </w:rPr>
  </w:style>
  <w:style w:type="paragraph" w:styleId="Heading3">
    <w:name w:val="heading 3"/>
    <w:basedOn w:val="Normal"/>
    <w:next w:val="Normal"/>
    <w:qFormat/>
    <w:rsid w:val="005F1177"/>
    <w:pPr>
      <w:keepNext/>
      <w:keepLines/>
      <w:numPr>
        <w:ilvl w:val="2"/>
        <w:numId w:val="9"/>
      </w:numPr>
      <w:tabs>
        <w:tab w:val="clear" w:pos="720"/>
        <w:tab w:val="left" w:pos="1134"/>
      </w:tabs>
      <w:spacing w:after="120"/>
      <w:ind w:left="1134" w:hanging="1134"/>
      <w:outlineLvl w:val="2"/>
    </w:pPr>
    <w:rPr>
      <w:b/>
      <w:sz w:val="26"/>
    </w:rPr>
  </w:style>
  <w:style w:type="paragraph" w:styleId="Heading4">
    <w:name w:val="heading 4"/>
    <w:basedOn w:val="Heading1"/>
    <w:next w:val="Normal"/>
    <w:qFormat/>
    <w:rsid w:val="00A238DA"/>
    <w:pPr>
      <w:numPr>
        <w:numId w:val="0"/>
      </w:numPr>
      <w:outlineLvl w:val="3"/>
    </w:pPr>
    <w:rPr>
      <w:caps w:val="0"/>
      <w:color w:val="000000" w:themeColor="text1"/>
      <w:sz w:val="24"/>
    </w:rPr>
  </w:style>
  <w:style w:type="paragraph" w:styleId="Heading5">
    <w:name w:val="heading 5"/>
    <w:basedOn w:val="Normal"/>
    <w:next w:val="Normal"/>
    <w:rsid w:val="005F1177"/>
    <w:pPr>
      <w:keepNext/>
      <w:tabs>
        <w:tab w:val="num" w:pos="1008"/>
      </w:tabs>
      <w:spacing w:after="120"/>
      <w:ind w:left="1009" w:hanging="1009"/>
      <w:outlineLvl w:val="4"/>
    </w:pPr>
    <w:rPr>
      <w:rFonts w:cs="Tahoma"/>
      <w:bCs/>
      <w:szCs w:val="40"/>
    </w:rPr>
  </w:style>
  <w:style w:type="paragraph" w:styleId="Heading6">
    <w:name w:val="heading 6"/>
    <w:basedOn w:val="Normal"/>
    <w:next w:val="Normal"/>
    <w:locked/>
    <w:rsid w:val="00F91A74"/>
    <w:pPr>
      <w:keepNext/>
      <w:pBdr>
        <w:top w:val="single" w:sz="18" w:space="1" w:color="auto"/>
        <w:bottom w:val="single" w:sz="18" w:space="1" w:color="auto"/>
      </w:pBdr>
      <w:tabs>
        <w:tab w:val="num" w:pos="1152"/>
      </w:tabs>
      <w:spacing w:after="120"/>
      <w:ind w:left="1151" w:hanging="1151"/>
      <w:jc w:val="center"/>
      <w:outlineLvl w:val="5"/>
    </w:pPr>
    <w:rPr>
      <w:b/>
      <w:sz w:val="28"/>
      <w:szCs w:val="40"/>
    </w:rPr>
  </w:style>
  <w:style w:type="paragraph" w:styleId="Heading7">
    <w:name w:val="heading 7"/>
    <w:basedOn w:val="Normal"/>
    <w:next w:val="Normal"/>
    <w:locked/>
    <w:rsid w:val="00F91A74"/>
    <w:pPr>
      <w:spacing w:after="120"/>
      <w:outlineLvl w:val="6"/>
    </w:pPr>
    <w:rPr>
      <w:color w:val="000000"/>
    </w:rPr>
  </w:style>
  <w:style w:type="paragraph" w:styleId="Heading8">
    <w:name w:val="heading 8"/>
    <w:basedOn w:val="Normal"/>
    <w:next w:val="Normal"/>
    <w:locked/>
    <w:rsid w:val="005F7C73"/>
    <w:pPr>
      <w:keepNext/>
      <w:tabs>
        <w:tab w:val="num" w:pos="1440"/>
      </w:tabs>
      <w:spacing w:after="120"/>
      <w:ind w:left="1440" w:hanging="1440"/>
      <w:outlineLvl w:val="7"/>
    </w:pPr>
    <w:rPr>
      <w:bCs/>
      <w:sz w:val="28"/>
      <w:szCs w:val="40"/>
    </w:rPr>
  </w:style>
  <w:style w:type="paragraph" w:styleId="Heading9">
    <w:name w:val="heading 9"/>
    <w:basedOn w:val="Normal"/>
    <w:next w:val="Normal"/>
    <w:locked/>
    <w:rsid w:val="00F91A74"/>
    <w:pPr>
      <w:keepNext/>
      <w:tabs>
        <w:tab w:val="num" w:pos="1584"/>
      </w:tabs>
      <w:spacing w:after="120"/>
      <w:ind w:left="1582" w:hanging="1582"/>
      <w:outlineLvl w:val="8"/>
    </w:pPr>
    <w:rPr>
      <w:b/>
      <w:color w:val="000000"/>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7C73"/>
    <w:rPr>
      <w:sz w:val="18"/>
      <w:szCs w:val="16"/>
    </w:rPr>
  </w:style>
  <w:style w:type="paragraph" w:styleId="Footer">
    <w:name w:val="footer"/>
    <w:basedOn w:val="Normal"/>
    <w:link w:val="FooterChar"/>
    <w:rsid w:val="008B643C"/>
    <w:pPr>
      <w:tabs>
        <w:tab w:val="right" w:pos="9072"/>
      </w:tabs>
      <w:spacing w:before="20"/>
    </w:pPr>
    <w:rPr>
      <w:sz w:val="18"/>
      <w:szCs w:val="16"/>
    </w:rPr>
  </w:style>
  <w:style w:type="character" w:styleId="PageNumber">
    <w:name w:val="page number"/>
    <w:rsid w:val="005F7C73"/>
    <w:rPr>
      <w:rFonts w:ascii="Arial" w:hAnsi="Arial"/>
      <w:sz w:val="18"/>
      <w:szCs w:val="16"/>
    </w:rPr>
  </w:style>
  <w:style w:type="paragraph" w:customStyle="1" w:styleId="Documentcontroltext">
    <w:name w:val="Document control text"/>
    <w:basedOn w:val="Normal"/>
    <w:link w:val="DocumentcontroltextChar"/>
    <w:rsid w:val="005F7C73"/>
    <w:pPr>
      <w:spacing w:before="60" w:after="60"/>
    </w:pPr>
    <w:rPr>
      <w:sz w:val="18"/>
      <w:szCs w:val="16"/>
    </w:rPr>
  </w:style>
  <w:style w:type="paragraph" w:styleId="TOC1">
    <w:name w:val="toc 1"/>
    <w:basedOn w:val="Normal"/>
    <w:next w:val="Normal"/>
    <w:uiPriority w:val="39"/>
    <w:rsid w:val="005F7C73"/>
    <w:pPr>
      <w:tabs>
        <w:tab w:val="left" w:pos="567"/>
        <w:tab w:val="right" w:leader="dot" w:pos="9072"/>
      </w:tabs>
      <w:spacing w:after="120"/>
      <w:ind w:left="567" w:hanging="567"/>
      <w:outlineLvl w:val="0"/>
    </w:pPr>
    <w:rPr>
      <w:b/>
      <w:bCs/>
      <w:caps/>
    </w:rPr>
  </w:style>
  <w:style w:type="paragraph" w:customStyle="1" w:styleId="Policytitle">
    <w:name w:val="Policy title"/>
    <w:basedOn w:val="Normal"/>
    <w:link w:val="PolicytitleChar"/>
    <w:rsid w:val="00B254DD"/>
    <w:pPr>
      <w:keepNext/>
      <w:pBdr>
        <w:bottom w:val="single" w:sz="24" w:space="1" w:color="CC0000"/>
      </w:pBdr>
      <w:tabs>
        <w:tab w:val="left" w:pos="567"/>
      </w:tabs>
      <w:spacing w:before="720" w:after="720"/>
      <w:jc w:val="center"/>
      <w:outlineLvl w:val="0"/>
    </w:pPr>
    <w:rPr>
      <w:b/>
      <w:bCs/>
      <w:caps/>
      <w:kern w:val="32"/>
      <w:sz w:val="48"/>
      <w:szCs w:val="20"/>
    </w:rPr>
  </w:style>
  <w:style w:type="paragraph" w:customStyle="1" w:styleId="CONTENTS">
    <w:name w:val="CONTENTS"/>
    <w:basedOn w:val="Normal"/>
    <w:semiHidden/>
    <w:rsid w:val="003B47FE"/>
    <w:pPr>
      <w:tabs>
        <w:tab w:val="left" w:pos="567"/>
        <w:tab w:val="right" w:leader="dot" w:pos="9072"/>
      </w:tabs>
      <w:spacing w:after="240" w:line="280" w:lineRule="atLeast"/>
      <w:outlineLvl w:val="0"/>
    </w:pPr>
    <w:rPr>
      <w:b/>
    </w:rPr>
  </w:style>
  <w:style w:type="numbering" w:styleId="111111">
    <w:name w:val="Outline List 2"/>
    <w:basedOn w:val="NoList"/>
    <w:semiHidden/>
    <w:locked/>
    <w:rsid w:val="00471A2F"/>
    <w:pPr>
      <w:numPr>
        <w:numId w:val="14"/>
      </w:numPr>
    </w:pPr>
  </w:style>
  <w:style w:type="paragraph" w:customStyle="1" w:styleId="Titlepage">
    <w:name w:val="Title page"/>
    <w:basedOn w:val="Heading1"/>
    <w:rsid w:val="00B254DD"/>
    <w:pPr>
      <w:numPr>
        <w:numId w:val="0"/>
      </w:numPr>
      <w:spacing w:before="480" w:after="480"/>
      <w:jc w:val="center"/>
    </w:pPr>
    <w:rPr>
      <w:b w:val="0"/>
      <w:sz w:val="40"/>
      <w:szCs w:val="40"/>
    </w:rPr>
  </w:style>
  <w:style w:type="paragraph" w:customStyle="1" w:styleId="Policytext">
    <w:name w:val="Policy text"/>
    <w:basedOn w:val="Normal"/>
    <w:link w:val="PolicytextChar"/>
    <w:rsid w:val="002439AA"/>
  </w:style>
  <w:style w:type="paragraph" w:styleId="ListBullet">
    <w:name w:val="List Bullet"/>
    <w:basedOn w:val="Normal"/>
    <w:link w:val="ListBulletChar"/>
    <w:rsid w:val="00F91A74"/>
    <w:pPr>
      <w:numPr>
        <w:numId w:val="10"/>
      </w:numPr>
      <w:tabs>
        <w:tab w:val="clear" w:pos="360"/>
        <w:tab w:val="left" w:pos="284"/>
      </w:tabs>
      <w:spacing w:after="120"/>
      <w:ind w:left="284" w:hanging="284"/>
    </w:pPr>
    <w:rPr>
      <w:color w:val="000000"/>
      <w:szCs w:val="20"/>
    </w:rPr>
  </w:style>
  <w:style w:type="paragraph" w:styleId="ListBullet2">
    <w:name w:val="List Bullet 2"/>
    <w:basedOn w:val="Normal"/>
    <w:link w:val="ListBullet2Char"/>
    <w:locked/>
    <w:rsid w:val="00F91A74"/>
    <w:pPr>
      <w:numPr>
        <w:numId w:val="11"/>
      </w:numPr>
      <w:spacing w:after="120"/>
      <w:ind w:left="641" w:hanging="357"/>
    </w:pPr>
    <w:rPr>
      <w:szCs w:val="20"/>
    </w:rPr>
  </w:style>
  <w:style w:type="paragraph" w:customStyle="1" w:styleId="ListNumber1">
    <w:name w:val="List Number1"/>
    <w:basedOn w:val="Policytext"/>
    <w:locked/>
    <w:rsid w:val="00F91A74"/>
    <w:pPr>
      <w:numPr>
        <w:numId w:val="12"/>
      </w:numPr>
      <w:spacing w:after="120"/>
    </w:pPr>
    <w:rPr>
      <w:rFonts w:cs="Times New Roman"/>
      <w:color w:val="000000"/>
      <w:szCs w:val="20"/>
    </w:rPr>
  </w:style>
  <w:style w:type="paragraph" w:customStyle="1" w:styleId="ListNumber2a">
    <w:name w:val="List Number2a"/>
    <w:basedOn w:val="Policytext"/>
    <w:semiHidden/>
    <w:locked/>
    <w:rsid w:val="003B47FE"/>
    <w:pPr>
      <w:numPr>
        <w:ilvl w:val="1"/>
        <w:numId w:val="13"/>
      </w:numPr>
      <w:tabs>
        <w:tab w:val="left" w:pos="641"/>
      </w:tabs>
      <w:spacing w:after="60" w:line="280" w:lineRule="atLeast"/>
    </w:pPr>
    <w:rPr>
      <w:rFonts w:cs="Times New Roman"/>
      <w:szCs w:val="20"/>
    </w:rPr>
  </w:style>
  <w:style w:type="paragraph" w:customStyle="1" w:styleId="Tabletext">
    <w:name w:val="Table text"/>
    <w:basedOn w:val="Policytext"/>
    <w:link w:val="TabletextChar"/>
    <w:rsid w:val="00BD2D3D"/>
    <w:pPr>
      <w:spacing w:after="240"/>
    </w:pPr>
    <w:rPr>
      <w:sz w:val="20"/>
      <w:szCs w:val="18"/>
    </w:rPr>
  </w:style>
  <w:style w:type="paragraph" w:customStyle="1" w:styleId="Tableheader">
    <w:name w:val="Table header"/>
    <w:basedOn w:val="Tabletext"/>
    <w:rsid w:val="003B47FE"/>
    <w:rPr>
      <w:b/>
      <w:sz w:val="22"/>
      <w:szCs w:val="22"/>
    </w:rPr>
  </w:style>
  <w:style w:type="paragraph" w:customStyle="1" w:styleId="policynumber">
    <w:name w:val="policy number"/>
    <w:basedOn w:val="Normal"/>
    <w:rsid w:val="003B47FE"/>
    <w:pPr>
      <w:tabs>
        <w:tab w:val="right" w:pos="9000"/>
      </w:tabs>
      <w:jc w:val="right"/>
    </w:pPr>
    <w:rPr>
      <w:b/>
    </w:rPr>
  </w:style>
  <w:style w:type="paragraph" w:customStyle="1" w:styleId="Documentcontrolheading">
    <w:name w:val="Document control heading"/>
    <w:basedOn w:val="Documentcontroltext"/>
    <w:rsid w:val="00101B7B"/>
    <w:rPr>
      <w:b/>
      <w:bCs/>
    </w:rPr>
  </w:style>
  <w:style w:type="paragraph" w:customStyle="1" w:styleId="Documentcontrol">
    <w:name w:val="Document control"/>
    <w:basedOn w:val="Documentcontroltext"/>
    <w:rsid w:val="005F7C73"/>
    <w:rPr>
      <w:b/>
      <w:caps/>
      <w:szCs w:val="18"/>
    </w:rPr>
  </w:style>
  <w:style w:type="paragraph" w:customStyle="1" w:styleId="Approveddatelookupfield">
    <w:name w:val="Approved date lookup field"/>
    <w:basedOn w:val="Documentcontroltext"/>
    <w:rsid w:val="006D4789"/>
    <w:pPr>
      <w:framePr w:hSpace="181" w:wrap="around" w:hAnchor="text" w:yAlign="bottom"/>
      <w:suppressOverlap/>
    </w:pPr>
  </w:style>
  <w:style w:type="character" w:styleId="Hyperlink">
    <w:name w:val="Hyperlink"/>
    <w:uiPriority w:val="99"/>
    <w:rsid w:val="005F7C73"/>
    <w:rPr>
      <w:rFonts w:ascii="Arial" w:hAnsi="Arial"/>
      <w:color w:val="0000FF"/>
      <w:u w:val="single"/>
    </w:rPr>
  </w:style>
  <w:style w:type="paragraph" w:customStyle="1" w:styleId="Contentsheader">
    <w:name w:val="Contents header"/>
    <w:basedOn w:val="Normal"/>
    <w:rsid w:val="005F7C73"/>
    <w:pPr>
      <w:spacing w:after="240"/>
    </w:pPr>
    <w:rPr>
      <w:b/>
      <w:caps/>
      <w:sz w:val="28"/>
      <w:szCs w:val="28"/>
    </w:rPr>
  </w:style>
  <w:style w:type="numbering" w:styleId="1ai">
    <w:name w:val="Outline List 1"/>
    <w:basedOn w:val="NoList"/>
    <w:semiHidden/>
    <w:locked/>
    <w:rsid w:val="00471A2F"/>
    <w:pPr>
      <w:numPr>
        <w:numId w:val="15"/>
      </w:numPr>
    </w:pPr>
  </w:style>
  <w:style w:type="numbering" w:styleId="ArticleSection">
    <w:name w:val="Outline List 3"/>
    <w:basedOn w:val="NoList"/>
    <w:semiHidden/>
    <w:rsid w:val="00471A2F"/>
    <w:pPr>
      <w:numPr>
        <w:numId w:val="16"/>
      </w:numPr>
    </w:pPr>
  </w:style>
  <w:style w:type="paragraph" w:styleId="TOC2">
    <w:name w:val="toc 2"/>
    <w:basedOn w:val="Normal"/>
    <w:next w:val="Normal"/>
    <w:uiPriority w:val="39"/>
    <w:rsid w:val="00305615"/>
    <w:pPr>
      <w:tabs>
        <w:tab w:val="left" w:pos="992"/>
        <w:tab w:val="right" w:leader="dot" w:pos="9072"/>
      </w:tabs>
      <w:spacing w:after="120"/>
      <w:ind w:left="993" w:hanging="709"/>
    </w:pPr>
  </w:style>
  <w:style w:type="paragraph" w:styleId="BlockText">
    <w:name w:val="Block Text"/>
    <w:basedOn w:val="Normal"/>
    <w:semiHidden/>
    <w:locked/>
    <w:rsid w:val="0030172E"/>
    <w:pPr>
      <w:spacing w:after="120"/>
      <w:ind w:left="1440" w:right="1440"/>
    </w:pPr>
  </w:style>
  <w:style w:type="paragraph" w:styleId="BodyText">
    <w:name w:val="Body Text"/>
    <w:basedOn w:val="Normal"/>
    <w:semiHidden/>
    <w:locked/>
    <w:rsid w:val="0030172E"/>
    <w:pPr>
      <w:spacing w:after="120"/>
    </w:pPr>
  </w:style>
  <w:style w:type="paragraph" w:styleId="BodyText2">
    <w:name w:val="Body Text 2"/>
    <w:basedOn w:val="Normal"/>
    <w:semiHidden/>
    <w:locked/>
    <w:rsid w:val="0030172E"/>
    <w:pPr>
      <w:spacing w:after="120" w:line="480" w:lineRule="auto"/>
    </w:pPr>
  </w:style>
  <w:style w:type="paragraph" w:styleId="BodyText3">
    <w:name w:val="Body Text 3"/>
    <w:basedOn w:val="Normal"/>
    <w:semiHidden/>
    <w:locked/>
    <w:rsid w:val="0030172E"/>
    <w:pPr>
      <w:spacing w:after="120"/>
    </w:pPr>
    <w:rPr>
      <w:sz w:val="16"/>
      <w:szCs w:val="16"/>
    </w:rPr>
  </w:style>
  <w:style w:type="paragraph" w:styleId="BodyTextFirstIndent">
    <w:name w:val="Body Text First Indent"/>
    <w:basedOn w:val="BodyText"/>
    <w:semiHidden/>
    <w:locked/>
    <w:rsid w:val="0030172E"/>
    <w:pPr>
      <w:ind w:firstLine="210"/>
    </w:pPr>
  </w:style>
  <w:style w:type="paragraph" w:styleId="BodyTextIndent">
    <w:name w:val="Body Text Indent"/>
    <w:basedOn w:val="Normal"/>
    <w:semiHidden/>
    <w:locked/>
    <w:rsid w:val="0030172E"/>
    <w:pPr>
      <w:spacing w:after="120"/>
      <w:ind w:left="283"/>
    </w:pPr>
  </w:style>
  <w:style w:type="paragraph" w:styleId="BodyTextFirstIndent2">
    <w:name w:val="Body Text First Indent 2"/>
    <w:basedOn w:val="BodyTextIndent"/>
    <w:semiHidden/>
    <w:locked/>
    <w:rsid w:val="0030172E"/>
    <w:pPr>
      <w:ind w:firstLine="210"/>
    </w:pPr>
  </w:style>
  <w:style w:type="paragraph" w:styleId="BodyTextIndent2">
    <w:name w:val="Body Text Indent 2"/>
    <w:basedOn w:val="Normal"/>
    <w:semiHidden/>
    <w:locked/>
    <w:rsid w:val="0030172E"/>
    <w:pPr>
      <w:spacing w:after="120" w:line="480" w:lineRule="auto"/>
      <w:ind w:left="283"/>
    </w:pPr>
  </w:style>
  <w:style w:type="paragraph" w:styleId="BodyTextIndent3">
    <w:name w:val="Body Text Indent 3"/>
    <w:basedOn w:val="Normal"/>
    <w:semiHidden/>
    <w:locked/>
    <w:rsid w:val="0030172E"/>
    <w:pPr>
      <w:spacing w:after="120"/>
      <w:ind w:left="283"/>
    </w:pPr>
    <w:rPr>
      <w:sz w:val="16"/>
      <w:szCs w:val="16"/>
    </w:rPr>
  </w:style>
  <w:style w:type="paragraph" w:styleId="Closing">
    <w:name w:val="Closing"/>
    <w:basedOn w:val="Normal"/>
    <w:semiHidden/>
    <w:rsid w:val="0030172E"/>
    <w:pPr>
      <w:ind w:left="4252"/>
    </w:pPr>
  </w:style>
  <w:style w:type="paragraph" w:styleId="E-mailSignature">
    <w:name w:val="E-mail Signature"/>
    <w:basedOn w:val="Normal"/>
    <w:semiHidden/>
    <w:rsid w:val="0030172E"/>
  </w:style>
  <w:style w:type="character" w:styleId="Emphasis">
    <w:name w:val="Emphasis"/>
    <w:rsid w:val="005F7C73"/>
    <w:rPr>
      <w:rFonts w:ascii="Arial" w:hAnsi="Arial"/>
      <w:i/>
      <w:iCs/>
    </w:rPr>
  </w:style>
  <w:style w:type="paragraph" w:styleId="EnvelopeAddress">
    <w:name w:val="envelope address"/>
    <w:basedOn w:val="Normal"/>
    <w:semiHidden/>
    <w:locked/>
    <w:rsid w:val="0030172E"/>
    <w:pPr>
      <w:framePr w:w="7920" w:h="1980" w:hRule="exact" w:hSpace="180" w:wrap="auto" w:hAnchor="page" w:xAlign="center" w:yAlign="bottom"/>
      <w:ind w:left="2880"/>
    </w:pPr>
  </w:style>
  <w:style w:type="paragraph" w:styleId="EnvelopeReturn">
    <w:name w:val="envelope return"/>
    <w:basedOn w:val="Normal"/>
    <w:semiHidden/>
    <w:locked/>
    <w:rsid w:val="0030172E"/>
    <w:rPr>
      <w:sz w:val="20"/>
      <w:szCs w:val="20"/>
    </w:rPr>
  </w:style>
  <w:style w:type="character" w:styleId="FollowedHyperlink">
    <w:name w:val="FollowedHyperlink"/>
    <w:semiHidden/>
    <w:rsid w:val="0030172E"/>
    <w:rPr>
      <w:color w:val="800080"/>
      <w:u w:val="single"/>
    </w:rPr>
  </w:style>
  <w:style w:type="character" w:styleId="HTMLAcronym">
    <w:name w:val="HTML Acronym"/>
    <w:basedOn w:val="DefaultParagraphFont"/>
    <w:semiHidden/>
    <w:rsid w:val="0030172E"/>
  </w:style>
  <w:style w:type="paragraph" w:styleId="HTMLAddress">
    <w:name w:val="HTML Address"/>
    <w:basedOn w:val="Normal"/>
    <w:semiHidden/>
    <w:rsid w:val="0030172E"/>
    <w:rPr>
      <w:i/>
      <w:iCs/>
    </w:rPr>
  </w:style>
  <w:style w:type="character" w:styleId="HTMLCite">
    <w:name w:val="HTML Cite"/>
    <w:semiHidden/>
    <w:rsid w:val="0030172E"/>
    <w:rPr>
      <w:i/>
      <w:iCs/>
    </w:rPr>
  </w:style>
  <w:style w:type="character" w:styleId="HTMLCode">
    <w:name w:val="HTML Code"/>
    <w:semiHidden/>
    <w:rsid w:val="0030172E"/>
    <w:rPr>
      <w:rFonts w:ascii="Courier New" w:hAnsi="Courier New" w:cs="Courier New"/>
      <w:sz w:val="20"/>
      <w:szCs w:val="20"/>
    </w:rPr>
  </w:style>
  <w:style w:type="character" w:styleId="HTMLDefinition">
    <w:name w:val="HTML Definition"/>
    <w:semiHidden/>
    <w:rsid w:val="0030172E"/>
    <w:rPr>
      <w:i/>
      <w:iCs/>
    </w:rPr>
  </w:style>
  <w:style w:type="character" w:styleId="HTMLKeyboard">
    <w:name w:val="HTML Keyboard"/>
    <w:semiHidden/>
    <w:rsid w:val="0030172E"/>
    <w:rPr>
      <w:rFonts w:ascii="Courier New" w:hAnsi="Courier New" w:cs="Courier New"/>
      <w:sz w:val="20"/>
      <w:szCs w:val="20"/>
    </w:rPr>
  </w:style>
  <w:style w:type="paragraph" w:styleId="HTMLPreformatted">
    <w:name w:val="HTML Preformatted"/>
    <w:basedOn w:val="Normal"/>
    <w:semiHidden/>
    <w:rsid w:val="0030172E"/>
    <w:rPr>
      <w:rFonts w:ascii="Courier New" w:hAnsi="Courier New" w:cs="Courier New"/>
      <w:sz w:val="20"/>
      <w:szCs w:val="20"/>
    </w:rPr>
  </w:style>
  <w:style w:type="character" w:styleId="HTMLSample">
    <w:name w:val="HTML Sample"/>
    <w:semiHidden/>
    <w:rsid w:val="0030172E"/>
    <w:rPr>
      <w:rFonts w:ascii="Courier New" w:hAnsi="Courier New" w:cs="Courier New"/>
    </w:rPr>
  </w:style>
  <w:style w:type="character" w:styleId="HTMLTypewriter">
    <w:name w:val="HTML Typewriter"/>
    <w:semiHidden/>
    <w:rsid w:val="0030172E"/>
    <w:rPr>
      <w:rFonts w:ascii="Courier New" w:hAnsi="Courier New" w:cs="Courier New"/>
      <w:sz w:val="20"/>
      <w:szCs w:val="20"/>
    </w:rPr>
  </w:style>
  <w:style w:type="character" w:styleId="HTMLVariable">
    <w:name w:val="HTML Variable"/>
    <w:semiHidden/>
    <w:rsid w:val="0030172E"/>
    <w:rPr>
      <w:i/>
      <w:iCs/>
    </w:rPr>
  </w:style>
  <w:style w:type="character" w:styleId="LineNumber">
    <w:name w:val="line number"/>
    <w:basedOn w:val="DefaultParagraphFont"/>
    <w:semiHidden/>
    <w:locked/>
    <w:rsid w:val="0030172E"/>
  </w:style>
  <w:style w:type="paragraph" w:styleId="List">
    <w:name w:val="List"/>
    <w:basedOn w:val="Normal"/>
    <w:semiHidden/>
    <w:rsid w:val="0030172E"/>
    <w:pPr>
      <w:ind w:left="283" w:hanging="283"/>
    </w:pPr>
  </w:style>
  <w:style w:type="paragraph" w:styleId="List2">
    <w:name w:val="List 2"/>
    <w:basedOn w:val="Normal"/>
    <w:semiHidden/>
    <w:locked/>
    <w:rsid w:val="0030172E"/>
    <w:pPr>
      <w:ind w:left="566" w:hanging="283"/>
    </w:pPr>
  </w:style>
  <w:style w:type="paragraph" w:styleId="List3">
    <w:name w:val="List 3"/>
    <w:basedOn w:val="Normal"/>
    <w:semiHidden/>
    <w:locked/>
    <w:rsid w:val="0030172E"/>
    <w:pPr>
      <w:ind w:left="849" w:hanging="283"/>
    </w:pPr>
  </w:style>
  <w:style w:type="paragraph" w:styleId="List4">
    <w:name w:val="List 4"/>
    <w:basedOn w:val="Normal"/>
    <w:semiHidden/>
    <w:locked/>
    <w:rsid w:val="0030172E"/>
    <w:pPr>
      <w:ind w:left="1132" w:hanging="283"/>
    </w:pPr>
  </w:style>
  <w:style w:type="paragraph" w:styleId="List5">
    <w:name w:val="List 5"/>
    <w:basedOn w:val="Normal"/>
    <w:semiHidden/>
    <w:locked/>
    <w:rsid w:val="0030172E"/>
    <w:pPr>
      <w:ind w:left="1415" w:hanging="283"/>
    </w:pPr>
  </w:style>
  <w:style w:type="paragraph" w:styleId="ListBullet3">
    <w:name w:val="List Bullet 3"/>
    <w:basedOn w:val="Normal"/>
    <w:semiHidden/>
    <w:locked/>
    <w:rsid w:val="0030172E"/>
    <w:pPr>
      <w:numPr>
        <w:numId w:val="1"/>
      </w:numPr>
    </w:pPr>
  </w:style>
  <w:style w:type="paragraph" w:styleId="ListBullet4">
    <w:name w:val="List Bullet 4"/>
    <w:basedOn w:val="Normal"/>
    <w:semiHidden/>
    <w:locked/>
    <w:rsid w:val="0030172E"/>
    <w:pPr>
      <w:numPr>
        <w:numId w:val="2"/>
      </w:numPr>
    </w:pPr>
  </w:style>
  <w:style w:type="paragraph" w:styleId="ListBullet5">
    <w:name w:val="List Bullet 5"/>
    <w:basedOn w:val="Normal"/>
    <w:semiHidden/>
    <w:locked/>
    <w:rsid w:val="0030172E"/>
    <w:pPr>
      <w:numPr>
        <w:numId w:val="3"/>
      </w:numPr>
    </w:pPr>
  </w:style>
  <w:style w:type="paragraph" w:styleId="ListContinue">
    <w:name w:val="List Continue"/>
    <w:basedOn w:val="Normal"/>
    <w:semiHidden/>
    <w:locked/>
    <w:rsid w:val="0030172E"/>
    <w:pPr>
      <w:spacing w:after="120"/>
      <w:ind w:left="283"/>
    </w:pPr>
  </w:style>
  <w:style w:type="paragraph" w:styleId="ListContinue2">
    <w:name w:val="List Continue 2"/>
    <w:basedOn w:val="Normal"/>
    <w:semiHidden/>
    <w:locked/>
    <w:rsid w:val="0030172E"/>
    <w:pPr>
      <w:spacing w:after="120"/>
      <w:ind w:left="566"/>
    </w:pPr>
  </w:style>
  <w:style w:type="paragraph" w:styleId="ListContinue3">
    <w:name w:val="List Continue 3"/>
    <w:basedOn w:val="Normal"/>
    <w:semiHidden/>
    <w:locked/>
    <w:rsid w:val="0030172E"/>
    <w:pPr>
      <w:spacing w:after="120"/>
      <w:ind w:left="849"/>
    </w:pPr>
  </w:style>
  <w:style w:type="paragraph" w:styleId="ListContinue4">
    <w:name w:val="List Continue 4"/>
    <w:basedOn w:val="Normal"/>
    <w:semiHidden/>
    <w:locked/>
    <w:rsid w:val="0030172E"/>
    <w:pPr>
      <w:spacing w:after="120"/>
      <w:ind w:left="1132"/>
    </w:pPr>
  </w:style>
  <w:style w:type="paragraph" w:styleId="TOC3">
    <w:name w:val="toc 3"/>
    <w:basedOn w:val="Normal"/>
    <w:next w:val="Normal"/>
    <w:uiPriority w:val="39"/>
    <w:rsid w:val="00305615"/>
    <w:pPr>
      <w:tabs>
        <w:tab w:val="left" w:pos="1418"/>
        <w:tab w:val="right" w:leader="dot" w:pos="9072"/>
      </w:tabs>
      <w:spacing w:after="120"/>
      <w:ind w:left="1418" w:hanging="851"/>
    </w:pPr>
  </w:style>
  <w:style w:type="paragraph" w:styleId="ListNumber">
    <w:name w:val="List Number"/>
    <w:basedOn w:val="Normal"/>
    <w:semiHidden/>
    <w:locked/>
    <w:rsid w:val="0030172E"/>
    <w:pPr>
      <w:numPr>
        <w:numId w:val="4"/>
      </w:numPr>
    </w:pPr>
  </w:style>
  <w:style w:type="paragraph" w:styleId="ListNumber2">
    <w:name w:val="List Number 2"/>
    <w:basedOn w:val="Normal"/>
    <w:semiHidden/>
    <w:locked/>
    <w:rsid w:val="0030172E"/>
    <w:pPr>
      <w:numPr>
        <w:numId w:val="5"/>
      </w:numPr>
    </w:pPr>
  </w:style>
  <w:style w:type="paragraph" w:styleId="ListNumber3">
    <w:name w:val="List Number 3"/>
    <w:basedOn w:val="Normal"/>
    <w:semiHidden/>
    <w:locked/>
    <w:rsid w:val="0030172E"/>
    <w:pPr>
      <w:numPr>
        <w:numId w:val="6"/>
      </w:numPr>
    </w:pPr>
  </w:style>
  <w:style w:type="paragraph" w:styleId="ListNumber4">
    <w:name w:val="List Number 4"/>
    <w:basedOn w:val="Normal"/>
    <w:semiHidden/>
    <w:locked/>
    <w:rsid w:val="0030172E"/>
    <w:pPr>
      <w:numPr>
        <w:numId w:val="7"/>
      </w:numPr>
    </w:pPr>
  </w:style>
  <w:style w:type="paragraph" w:styleId="ListNumber5">
    <w:name w:val="List Number 5"/>
    <w:basedOn w:val="Normal"/>
    <w:semiHidden/>
    <w:locked/>
    <w:rsid w:val="0030172E"/>
    <w:pPr>
      <w:numPr>
        <w:numId w:val="8"/>
      </w:numPr>
    </w:pPr>
  </w:style>
  <w:style w:type="paragraph" w:styleId="MessageHeader">
    <w:name w:val="Message Header"/>
    <w:basedOn w:val="Normal"/>
    <w:semiHidden/>
    <w:rsid w:val="0030172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30172E"/>
    <w:rPr>
      <w:rFonts w:ascii="Times New Roman" w:hAnsi="Times New Roman"/>
    </w:rPr>
  </w:style>
  <w:style w:type="paragraph" w:styleId="NormalIndent">
    <w:name w:val="Normal Indent"/>
    <w:basedOn w:val="Normal"/>
    <w:semiHidden/>
    <w:rsid w:val="0030172E"/>
    <w:pPr>
      <w:ind w:left="720"/>
    </w:pPr>
  </w:style>
  <w:style w:type="paragraph" w:styleId="NoteHeading">
    <w:name w:val="Note Heading"/>
    <w:basedOn w:val="Normal"/>
    <w:next w:val="Normal"/>
    <w:semiHidden/>
    <w:rsid w:val="0030172E"/>
  </w:style>
  <w:style w:type="paragraph" w:styleId="PlainText">
    <w:name w:val="Plain Text"/>
    <w:basedOn w:val="Normal"/>
    <w:semiHidden/>
    <w:locked/>
    <w:rsid w:val="0030172E"/>
    <w:rPr>
      <w:rFonts w:ascii="Courier New" w:hAnsi="Courier New" w:cs="Courier New"/>
      <w:sz w:val="20"/>
      <w:szCs w:val="20"/>
    </w:rPr>
  </w:style>
  <w:style w:type="paragraph" w:styleId="Salutation">
    <w:name w:val="Salutation"/>
    <w:basedOn w:val="Normal"/>
    <w:next w:val="Normal"/>
    <w:semiHidden/>
    <w:locked/>
    <w:rsid w:val="0030172E"/>
  </w:style>
  <w:style w:type="paragraph" w:styleId="Signature">
    <w:name w:val="Signature"/>
    <w:basedOn w:val="Normal"/>
    <w:semiHidden/>
    <w:locked/>
    <w:rsid w:val="0030172E"/>
    <w:pPr>
      <w:ind w:left="4252"/>
    </w:pPr>
  </w:style>
  <w:style w:type="character" w:styleId="Strong">
    <w:name w:val="Strong"/>
    <w:rsid w:val="005F7C73"/>
    <w:rPr>
      <w:rFonts w:ascii="Arial" w:hAnsi="Arial"/>
      <w:b/>
      <w:bCs/>
    </w:rPr>
  </w:style>
  <w:style w:type="paragraph" w:styleId="Subtitle">
    <w:name w:val="Subtitle"/>
    <w:basedOn w:val="Normal"/>
    <w:locked/>
    <w:rsid w:val="00F91A74"/>
    <w:pPr>
      <w:spacing w:after="120"/>
      <w:outlineLvl w:val="1"/>
    </w:pPr>
  </w:style>
  <w:style w:type="table" w:styleId="Table3Deffects1">
    <w:name w:val="Table 3D effects 1"/>
    <w:basedOn w:val="TableNormal"/>
    <w:semiHidden/>
    <w:locked/>
    <w:rsid w:val="003017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3017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3017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3017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3017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3017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3017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3017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3017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3017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3017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3017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3017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3017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3017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3017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3017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301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3017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3017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3017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3017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3017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3017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3017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3017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017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3017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3017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3017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3017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3017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3017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3017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3017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3017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3017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3017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3017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3017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301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3017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3017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3017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Date">
    <w:name w:val="Date"/>
    <w:basedOn w:val="Normal"/>
    <w:next w:val="Normal"/>
    <w:semiHidden/>
    <w:rsid w:val="009336AD"/>
  </w:style>
  <w:style w:type="paragraph" w:styleId="BalloonText">
    <w:name w:val="Balloon Text"/>
    <w:basedOn w:val="Normal"/>
    <w:link w:val="BalloonTextChar"/>
    <w:rsid w:val="005F7C73"/>
    <w:rPr>
      <w:sz w:val="16"/>
      <w:szCs w:val="16"/>
    </w:rPr>
  </w:style>
  <w:style w:type="character" w:customStyle="1" w:styleId="BalloonTextChar">
    <w:name w:val="Balloon Text Char"/>
    <w:link w:val="BalloonText"/>
    <w:rsid w:val="005F7C73"/>
    <w:rPr>
      <w:rFonts w:ascii="Arial" w:hAnsi="Arial"/>
      <w:sz w:val="16"/>
      <w:szCs w:val="16"/>
      <w:lang w:val="en-AU"/>
    </w:rPr>
  </w:style>
  <w:style w:type="paragraph" w:customStyle="1" w:styleId="PolicySecurityClassification">
    <w:name w:val="Policy Security Classification"/>
    <w:basedOn w:val="Documentcontroltext"/>
    <w:link w:val="PolicySecurityClassificationChar"/>
    <w:autoRedefine/>
    <w:rsid w:val="00F76A96"/>
    <w:pPr>
      <w:jc w:val="center"/>
    </w:pPr>
    <w:rPr>
      <w:color w:val="000000"/>
      <w:szCs w:val="18"/>
    </w:rPr>
  </w:style>
  <w:style w:type="paragraph" w:styleId="ListParagraph">
    <w:name w:val="List Paragraph"/>
    <w:basedOn w:val="Normal"/>
    <w:uiPriority w:val="34"/>
    <w:qFormat/>
    <w:rsid w:val="00303EBA"/>
    <w:pPr>
      <w:spacing w:after="120"/>
      <w:ind w:left="720"/>
    </w:pPr>
  </w:style>
  <w:style w:type="paragraph" w:styleId="TOC4">
    <w:name w:val="toc 4"/>
    <w:basedOn w:val="Normal"/>
    <w:next w:val="Normal"/>
    <w:autoRedefine/>
    <w:rsid w:val="00B37A6E"/>
    <w:pPr>
      <w:spacing w:after="100"/>
      <w:ind w:left="658"/>
    </w:pPr>
    <w:rPr>
      <w:sz w:val="20"/>
    </w:rPr>
  </w:style>
  <w:style w:type="paragraph" w:customStyle="1" w:styleId="BulletList1">
    <w:name w:val="Bullet List 1"/>
    <w:basedOn w:val="ListBullet"/>
    <w:link w:val="BulletList1Char"/>
    <w:qFormat/>
    <w:rsid w:val="005F1177"/>
    <w:pPr>
      <w:numPr>
        <w:numId w:val="19"/>
      </w:numPr>
      <w:tabs>
        <w:tab w:val="clear" w:pos="284"/>
        <w:tab w:val="clear" w:pos="360"/>
      </w:tabs>
      <w:ind w:left="357" w:hanging="357"/>
    </w:pPr>
    <w:rPr>
      <w:szCs w:val="24"/>
    </w:rPr>
  </w:style>
  <w:style w:type="paragraph" w:customStyle="1" w:styleId="BulletList2">
    <w:name w:val="Bullet List 2"/>
    <w:basedOn w:val="ListBullet2"/>
    <w:link w:val="BulletList2Char"/>
    <w:qFormat/>
    <w:rsid w:val="005F1177"/>
    <w:pPr>
      <w:numPr>
        <w:numId w:val="20"/>
      </w:numPr>
    </w:pPr>
    <w:rPr>
      <w:szCs w:val="24"/>
    </w:rPr>
  </w:style>
  <w:style w:type="character" w:customStyle="1" w:styleId="ListBulletChar">
    <w:name w:val="List Bullet Char"/>
    <w:basedOn w:val="DefaultParagraphFont"/>
    <w:link w:val="ListBullet"/>
    <w:rsid w:val="007C5DFC"/>
    <w:rPr>
      <w:rFonts w:ascii="Arial" w:hAnsi="Arial"/>
      <w:color w:val="000000"/>
      <w:szCs w:val="20"/>
      <w:lang w:val="en-AU"/>
    </w:rPr>
  </w:style>
  <w:style w:type="character" w:customStyle="1" w:styleId="BulletList1Char">
    <w:name w:val="Bullet List 1 Char"/>
    <w:basedOn w:val="ListBulletChar"/>
    <w:link w:val="BulletList1"/>
    <w:rsid w:val="005F1177"/>
    <w:rPr>
      <w:rFonts w:ascii="Arial" w:hAnsi="Arial"/>
      <w:color w:val="000000"/>
      <w:szCs w:val="20"/>
      <w:lang w:val="en-AU"/>
    </w:rPr>
  </w:style>
  <w:style w:type="paragraph" w:customStyle="1" w:styleId="Table1">
    <w:name w:val="Table 1"/>
    <w:basedOn w:val="Normal"/>
    <w:link w:val="Table1Char"/>
    <w:qFormat/>
    <w:rsid w:val="000160A8"/>
    <w:pPr>
      <w:spacing w:after="120"/>
    </w:pPr>
    <w:rPr>
      <w:sz w:val="22"/>
      <w:szCs w:val="22"/>
    </w:rPr>
  </w:style>
  <w:style w:type="character" w:customStyle="1" w:styleId="ListBullet2Char">
    <w:name w:val="List Bullet 2 Char"/>
    <w:basedOn w:val="DefaultParagraphFont"/>
    <w:link w:val="ListBullet2"/>
    <w:rsid w:val="00225B90"/>
    <w:rPr>
      <w:rFonts w:ascii="Arial" w:hAnsi="Arial"/>
      <w:szCs w:val="20"/>
      <w:lang w:val="en-AU"/>
    </w:rPr>
  </w:style>
  <w:style w:type="character" w:customStyle="1" w:styleId="BulletList2Char">
    <w:name w:val="Bullet List 2 Char"/>
    <w:basedOn w:val="ListBullet2Char"/>
    <w:link w:val="BulletList2"/>
    <w:rsid w:val="005F1177"/>
    <w:rPr>
      <w:rFonts w:ascii="Arial" w:hAnsi="Arial"/>
      <w:szCs w:val="20"/>
      <w:lang w:val="en-AU"/>
    </w:rPr>
  </w:style>
  <w:style w:type="character" w:customStyle="1" w:styleId="PolicytextChar">
    <w:name w:val="Policy text Char"/>
    <w:basedOn w:val="DefaultParagraphFont"/>
    <w:link w:val="Policytext"/>
    <w:rsid w:val="00772E38"/>
    <w:rPr>
      <w:lang w:val="en-NZ"/>
    </w:rPr>
  </w:style>
  <w:style w:type="character" w:customStyle="1" w:styleId="TabletextChar">
    <w:name w:val="Table text Char"/>
    <w:basedOn w:val="PolicytextChar"/>
    <w:link w:val="Tabletext"/>
    <w:rsid w:val="00772E38"/>
    <w:rPr>
      <w:sz w:val="20"/>
      <w:szCs w:val="18"/>
      <w:lang w:val="en-NZ"/>
    </w:rPr>
  </w:style>
  <w:style w:type="character" w:customStyle="1" w:styleId="Table1Char">
    <w:name w:val="Table 1 Char"/>
    <w:basedOn w:val="TabletextChar"/>
    <w:link w:val="Table1"/>
    <w:rsid w:val="000160A8"/>
    <w:rPr>
      <w:rFonts w:ascii="Arial" w:hAnsi="Arial"/>
      <w:sz w:val="22"/>
      <w:szCs w:val="22"/>
      <w:lang w:val="en-AU"/>
    </w:rPr>
  </w:style>
  <w:style w:type="paragraph" w:customStyle="1" w:styleId="Templateinstruction">
    <w:name w:val="Template instruction"/>
    <w:basedOn w:val="Normal"/>
    <w:qFormat/>
    <w:rsid w:val="004946CE"/>
    <w:pPr>
      <w:shd w:val="clear" w:color="auto" w:fill="C6D9F1" w:themeFill="text2" w:themeFillTint="33"/>
      <w:spacing w:after="120"/>
    </w:pPr>
    <w:rPr>
      <w:rFonts w:cs="Times New Roman"/>
      <w:sz w:val="22"/>
      <w:szCs w:val="22"/>
    </w:rPr>
  </w:style>
  <w:style w:type="paragraph" w:customStyle="1" w:styleId="Table2">
    <w:name w:val="Table 2"/>
    <w:basedOn w:val="Documentcontroltext"/>
    <w:link w:val="Table2Char"/>
    <w:qFormat/>
    <w:rsid w:val="00015FF7"/>
    <w:pPr>
      <w:framePr w:hSpace="181" w:wrap="around" w:vAnchor="page" w:hAnchor="text" w:xAlign="center" w:y="11341"/>
      <w:suppressOverlap/>
    </w:pPr>
    <w:rPr>
      <w:szCs w:val="18"/>
    </w:rPr>
  </w:style>
  <w:style w:type="paragraph" w:customStyle="1" w:styleId="HyperlinkDocument">
    <w:name w:val="Hyperlink Document"/>
    <w:basedOn w:val="BulletList1"/>
    <w:link w:val="HyperlinkDocumentChar"/>
    <w:qFormat/>
    <w:rsid w:val="009417B1"/>
    <w:pPr>
      <w:keepNext/>
      <w:keepLines/>
      <w:numPr>
        <w:numId w:val="0"/>
      </w:numPr>
      <w:ind w:left="357" w:hanging="357"/>
    </w:pPr>
    <w:rPr>
      <w:i/>
      <w:noProof/>
      <w:color w:val="0000CC"/>
      <w:szCs w:val="22"/>
      <w:u w:val="single"/>
    </w:rPr>
  </w:style>
  <w:style w:type="character" w:customStyle="1" w:styleId="DocumentcontroltextChar">
    <w:name w:val="Document control text Char"/>
    <w:basedOn w:val="DefaultParagraphFont"/>
    <w:link w:val="Documentcontroltext"/>
    <w:rsid w:val="005F7C73"/>
    <w:rPr>
      <w:rFonts w:ascii="Arial" w:hAnsi="Arial"/>
      <w:sz w:val="18"/>
      <w:szCs w:val="16"/>
      <w:lang w:val="en-AU"/>
    </w:rPr>
  </w:style>
  <w:style w:type="character" w:customStyle="1" w:styleId="Table2Char">
    <w:name w:val="Table 2 Char"/>
    <w:basedOn w:val="DocumentcontroltextChar"/>
    <w:link w:val="Table2"/>
    <w:rsid w:val="00015FF7"/>
    <w:rPr>
      <w:rFonts w:ascii="Arial" w:hAnsi="Arial"/>
      <w:sz w:val="18"/>
      <w:szCs w:val="18"/>
      <w:lang w:val="en-AU"/>
    </w:rPr>
  </w:style>
  <w:style w:type="character" w:customStyle="1" w:styleId="HyperlinkDocumentChar">
    <w:name w:val="Hyperlink Document Char"/>
    <w:basedOn w:val="BulletList1Char"/>
    <w:link w:val="HyperlinkDocument"/>
    <w:rsid w:val="009417B1"/>
    <w:rPr>
      <w:rFonts w:ascii="Arial" w:hAnsi="Arial"/>
      <w:i/>
      <w:noProof/>
      <w:color w:val="0000CC"/>
      <w:szCs w:val="22"/>
      <w:u w:val="single"/>
      <w:lang w:val="en-AU"/>
    </w:rPr>
  </w:style>
  <w:style w:type="paragraph" w:customStyle="1" w:styleId="PPGSTitle">
    <w:name w:val="PPGS Title"/>
    <w:basedOn w:val="Policytitle"/>
    <w:link w:val="PPGSTitleChar"/>
    <w:qFormat/>
    <w:rsid w:val="004853EF"/>
    <w:pPr>
      <w:pBdr>
        <w:bottom w:val="none" w:sz="0" w:space="0" w:color="auto"/>
      </w:pBdr>
      <w:spacing w:before="360" w:after="120"/>
    </w:pPr>
    <w:rPr>
      <w:color w:val="00427A"/>
      <w:sz w:val="52"/>
      <w:szCs w:val="52"/>
    </w:rPr>
  </w:style>
  <w:style w:type="character" w:customStyle="1" w:styleId="PPGSFileDocNoChar">
    <w:name w:val="PPGS File &amp; Doc No Char"/>
    <w:basedOn w:val="DefaultParagraphFont"/>
    <w:link w:val="PPGSFileDocNo"/>
    <w:locked/>
    <w:rsid w:val="0083791B"/>
    <w:rPr>
      <w:sz w:val="18"/>
      <w:szCs w:val="18"/>
      <w:lang w:val="en-AU"/>
    </w:rPr>
  </w:style>
  <w:style w:type="character" w:customStyle="1" w:styleId="PolicytitleChar">
    <w:name w:val="Policy title Char"/>
    <w:basedOn w:val="DefaultParagraphFont"/>
    <w:link w:val="Policytitle"/>
    <w:rsid w:val="0083791B"/>
    <w:rPr>
      <w:b/>
      <w:bCs/>
      <w:caps/>
      <w:kern w:val="32"/>
      <w:sz w:val="48"/>
      <w:szCs w:val="20"/>
      <w:lang w:val="en-AU"/>
    </w:rPr>
  </w:style>
  <w:style w:type="character" w:customStyle="1" w:styleId="PPGSTitleChar">
    <w:name w:val="PPGS Title Char"/>
    <w:basedOn w:val="PolicytitleChar"/>
    <w:link w:val="PPGSTitle"/>
    <w:rsid w:val="004853EF"/>
    <w:rPr>
      <w:rFonts w:ascii="Arial" w:hAnsi="Arial"/>
      <w:b/>
      <w:bCs/>
      <w:caps/>
      <w:color w:val="00427A"/>
      <w:kern w:val="32"/>
      <w:sz w:val="52"/>
      <w:szCs w:val="52"/>
      <w:lang w:val="en-AU"/>
    </w:rPr>
  </w:style>
  <w:style w:type="paragraph" w:customStyle="1" w:styleId="PPGSFileDocNo">
    <w:name w:val="PPGS File &amp; Doc No"/>
    <w:basedOn w:val="Normal"/>
    <w:link w:val="PPGSFileDocNoChar"/>
    <w:rsid w:val="0083791B"/>
    <w:pPr>
      <w:spacing w:before="60" w:after="60"/>
    </w:pPr>
    <w:rPr>
      <w:sz w:val="18"/>
      <w:szCs w:val="18"/>
    </w:rPr>
  </w:style>
  <w:style w:type="paragraph" w:customStyle="1" w:styleId="SecurityClassification">
    <w:name w:val="Security Classification"/>
    <w:basedOn w:val="PolicySecurityClassification"/>
    <w:link w:val="SecurityClassificationChar"/>
    <w:rsid w:val="00F57964"/>
    <w:pPr>
      <w:jc w:val="left"/>
    </w:pPr>
  </w:style>
  <w:style w:type="character" w:customStyle="1" w:styleId="PolicySecurityClassificationChar">
    <w:name w:val="Policy Security Classification Char"/>
    <w:basedOn w:val="DocumentcontroltextChar"/>
    <w:link w:val="PolicySecurityClassification"/>
    <w:rsid w:val="00F57964"/>
    <w:rPr>
      <w:rFonts w:ascii="Arial" w:hAnsi="Arial"/>
      <w:color w:val="000000"/>
      <w:sz w:val="18"/>
      <w:szCs w:val="18"/>
      <w:lang w:val="en-AU"/>
    </w:rPr>
  </w:style>
  <w:style w:type="character" w:customStyle="1" w:styleId="SecurityClassificationChar">
    <w:name w:val="Security Classification Char"/>
    <w:basedOn w:val="PolicySecurityClassificationChar"/>
    <w:link w:val="SecurityClassification"/>
    <w:rsid w:val="00F57964"/>
    <w:rPr>
      <w:rFonts w:ascii="Arial" w:hAnsi="Arial"/>
      <w:color w:val="000000"/>
      <w:sz w:val="18"/>
      <w:szCs w:val="18"/>
      <w:lang w:val="en-AU"/>
    </w:rPr>
  </w:style>
  <w:style w:type="paragraph" w:customStyle="1" w:styleId="PPGSDateApproved">
    <w:name w:val="PPGS Date Approved"/>
    <w:basedOn w:val="Table2"/>
    <w:link w:val="PPGSDateApprovedChar"/>
    <w:rsid w:val="00F8642E"/>
    <w:pPr>
      <w:framePr w:wrap="around"/>
    </w:pPr>
  </w:style>
  <w:style w:type="paragraph" w:customStyle="1" w:styleId="PPGSDateApprovedFooter">
    <w:name w:val="PPGS Date Approved Footer"/>
    <w:basedOn w:val="Footer"/>
    <w:link w:val="PPGSDateApprovedFooterChar"/>
    <w:rsid w:val="00F8642E"/>
    <w:pPr>
      <w:spacing w:before="60" w:after="60"/>
    </w:pPr>
    <w:rPr>
      <w:noProof/>
      <w:color w:val="000000"/>
      <w:szCs w:val="18"/>
      <w:lang w:val="en-GB" w:eastAsia="en-AU"/>
    </w:rPr>
  </w:style>
  <w:style w:type="character" w:customStyle="1" w:styleId="PPGSDateApprovedChar">
    <w:name w:val="PPGS Date Approved Char"/>
    <w:basedOn w:val="Table2Char"/>
    <w:link w:val="PPGSDateApproved"/>
    <w:rsid w:val="00F8642E"/>
    <w:rPr>
      <w:rFonts w:ascii="Arial" w:hAnsi="Arial"/>
      <w:sz w:val="18"/>
      <w:szCs w:val="18"/>
      <w:lang w:val="en-AU"/>
    </w:rPr>
  </w:style>
  <w:style w:type="paragraph" w:customStyle="1" w:styleId="PPGSDateApproveLookUp">
    <w:name w:val="PPGS Date Approve Look Up"/>
    <w:basedOn w:val="Footer"/>
    <w:link w:val="PPGSDateApproveLookUpChar"/>
    <w:rsid w:val="00F8642E"/>
    <w:pPr>
      <w:spacing w:before="60" w:after="60"/>
    </w:pPr>
    <w:rPr>
      <w:noProof/>
      <w:color w:val="000000"/>
      <w:szCs w:val="18"/>
      <w:lang w:val="en-GB" w:eastAsia="en-AU"/>
    </w:rPr>
  </w:style>
  <w:style w:type="character" w:customStyle="1" w:styleId="FooterChar">
    <w:name w:val="Footer Char"/>
    <w:basedOn w:val="DefaultParagraphFont"/>
    <w:link w:val="Footer"/>
    <w:rsid w:val="00F8642E"/>
    <w:rPr>
      <w:sz w:val="18"/>
      <w:szCs w:val="16"/>
      <w:lang w:val="en-AU"/>
    </w:rPr>
  </w:style>
  <w:style w:type="character" w:customStyle="1" w:styleId="PPGSDateApprovedFooterChar">
    <w:name w:val="PPGS Date Approved Footer Char"/>
    <w:basedOn w:val="FooterChar"/>
    <w:link w:val="PPGSDateApprovedFooter"/>
    <w:rsid w:val="00F8642E"/>
    <w:rPr>
      <w:noProof/>
      <w:color w:val="000000"/>
      <w:sz w:val="18"/>
      <w:szCs w:val="18"/>
      <w:lang w:val="en-GB" w:eastAsia="en-AU"/>
    </w:rPr>
  </w:style>
  <w:style w:type="paragraph" w:customStyle="1" w:styleId="PPGSFooter">
    <w:name w:val="PPGS Footer"/>
    <w:basedOn w:val="Footer"/>
    <w:link w:val="PPGSFooterChar"/>
    <w:rsid w:val="00F8642E"/>
    <w:pPr>
      <w:spacing w:before="60" w:after="60"/>
    </w:pPr>
    <w:rPr>
      <w:szCs w:val="18"/>
    </w:rPr>
  </w:style>
  <w:style w:type="character" w:customStyle="1" w:styleId="PPGSDateApproveLookUpChar">
    <w:name w:val="PPGS Date Approve Look Up Char"/>
    <w:basedOn w:val="FooterChar"/>
    <w:link w:val="PPGSDateApproveLookUp"/>
    <w:rsid w:val="00F8642E"/>
    <w:rPr>
      <w:noProof/>
      <w:color w:val="000000"/>
      <w:sz w:val="18"/>
      <w:szCs w:val="18"/>
      <w:lang w:val="en-GB" w:eastAsia="en-AU"/>
    </w:rPr>
  </w:style>
  <w:style w:type="character" w:customStyle="1" w:styleId="PPGSFooterChar">
    <w:name w:val="PPGS Footer Char"/>
    <w:basedOn w:val="FooterChar"/>
    <w:link w:val="PPGSFooter"/>
    <w:rsid w:val="00F8642E"/>
    <w:rPr>
      <w:sz w:val="18"/>
      <w:szCs w:val="18"/>
      <w:lang w:val="en-AU"/>
    </w:rPr>
  </w:style>
  <w:style w:type="paragraph" w:customStyle="1" w:styleId="Pa11">
    <w:name w:val="Pa11"/>
    <w:basedOn w:val="Normal"/>
    <w:next w:val="Normal"/>
    <w:rsid w:val="007C037F"/>
    <w:pPr>
      <w:widowControl w:val="0"/>
      <w:autoSpaceDE w:val="0"/>
      <w:autoSpaceDN w:val="0"/>
      <w:adjustRightInd w:val="0"/>
      <w:spacing w:before="0" w:after="160" w:line="201" w:lineRule="atLeast"/>
    </w:pPr>
    <w:rPr>
      <w:rFonts w:ascii="Univers" w:hAnsi="Univers" w:cs="Univers"/>
      <w:lang w:val="en-US"/>
    </w:rPr>
  </w:style>
  <w:style w:type="paragraph" w:customStyle="1" w:styleId="Pa12">
    <w:name w:val="Pa12"/>
    <w:basedOn w:val="Normal"/>
    <w:next w:val="Normal"/>
    <w:rsid w:val="007C037F"/>
    <w:pPr>
      <w:widowControl w:val="0"/>
      <w:autoSpaceDE w:val="0"/>
      <w:autoSpaceDN w:val="0"/>
      <w:adjustRightInd w:val="0"/>
      <w:spacing w:before="0" w:after="160" w:line="241" w:lineRule="atLeast"/>
    </w:pPr>
    <w:rPr>
      <w:rFonts w:ascii="Univers" w:hAnsi="Univers" w:cs="Univer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69319">
      <w:bodyDiv w:val="1"/>
      <w:marLeft w:val="0"/>
      <w:marRight w:val="0"/>
      <w:marTop w:val="0"/>
      <w:marBottom w:val="0"/>
      <w:divBdr>
        <w:top w:val="none" w:sz="0" w:space="0" w:color="auto"/>
        <w:left w:val="none" w:sz="0" w:space="0" w:color="auto"/>
        <w:bottom w:val="none" w:sz="0" w:space="0" w:color="auto"/>
        <w:right w:val="none" w:sz="0" w:space="0" w:color="auto"/>
      </w:divBdr>
    </w:div>
    <w:div w:id="60954724">
      <w:bodyDiv w:val="1"/>
      <w:marLeft w:val="0"/>
      <w:marRight w:val="0"/>
      <w:marTop w:val="0"/>
      <w:marBottom w:val="0"/>
      <w:divBdr>
        <w:top w:val="none" w:sz="0" w:space="0" w:color="auto"/>
        <w:left w:val="none" w:sz="0" w:space="0" w:color="auto"/>
        <w:bottom w:val="none" w:sz="0" w:space="0" w:color="auto"/>
        <w:right w:val="none" w:sz="0" w:space="0" w:color="auto"/>
      </w:divBdr>
    </w:div>
    <w:div w:id="325208338">
      <w:bodyDiv w:val="1"/>
      <w:marLeft w:val="0"/>
      <w:marRight w:val="0"/>
      <w:marTop w:val="0"/>
      <w:marBottom w:val="0"/>
      <w:divBdr>
        <w:top w:val="none" w:sz="0" w:space="0" w:color="auto"/>
        <w:left w:val="none" w:sz="0" w:space="0" w:color="auto"/>
        <w:bottom w:val="none" w:sz="0" w:space="0" w:color="auto"/>
        <w:right w:val="none" w:sz="0" w:space="0" w:color="auto"/>
      </w:divBdr>
    </w:div>
    <w:div w:id="358092716">
      <w:bodyDiv w:val="1"/>
      <w:marLeft w:val="0"/>
      <w:marRight w:val="0"/>
      <w:marTop w:val="0"/>
      <w:marBottom w:val="0"/>
      <w:divBdr>
        <w:top w:val="none" w:sz="0" w:space="0" w:color="auto"/>
        <w:left w:val="none" w:sz="0" w:space="0" w:color="auto"/>
        <w:bottom w:val="none" w:sz="0" w:space="0" w:color="auto"/>
        <w:right w:val="none" w:sz="0" w:space="0" w:color="auto"/>
      </w:divBdr>
    </w:div>
    <w:div w:id="375473906">
      <w:bodyDiv w:val="1"/>
      <w:marLeft w:val="0"/>
      <w:marRight w:val="0"/>
      <w:marTop w:val="0"/>
      <w:marBottom w:val="0"/>
      <w:divBdr>
        <w:top w:val="none" w:sz="0" w:space="0" w:color="auto"/>
        <w:left w:val="none" w:sz="0" w:space="0" w:color="auto"/>
        <w:bottom w:val="none" w:sz="0" w:space="0" w:color="auto"/>
        <w:right w:val="none" w:sz="0" w:space="0" w:color="auto"/>
      </w:divBdr>
    </w:div>
    <w:div w:id="402215917">
      <w:bodyDiv w:val="1"/>
      <w:marLeft w:val="0"/>
      <w:marRight w:val="0"/>
      <w:marTop w:val="0"/>
      <w:marBottom w:val="0"/>
      <w:divBdr>
        <w:top w:val="none" w:sz="0" w:space="0" w:color="auto"/>
        <w:left w:val="none" w:sz="0" w:space="0" w:color="auto"/>
        <w:bottom w:val="none" w:sz="0" w:space="0" w:color="auto"/>
        <w:right w:val="none" w:sz="0" w:space="0" w:color="auto"/>
      </w:divBdr>
    </w:div>
    <w:div w:id="421217880">
      <w:bodyDiv w:val="1"/>
      <w:marLeft w:val="0"/>
      <w:marRight w:val="0"/>
      <w:marTop w:val="0"/>
      <w:marBottom w:val="0"/>
      <w:divBdr>
        <w:top w:val="none" w:sz="0" w:space="0" w:color="auto"/>
        <w:left w:val="none" w:sz="0" w:space="0" w:color="auto"/>
        <w:bottom w:val="none" w:sz="0" w:space="0" w:color="auto"/>
        <w:right w:val="none" w:sz="0" w:space="0" w:color="auto"/>
      </w:divBdr>
    </w:div>
    <w:div w:id="424418233">
      <w:bodyDiv w:val="1"/>
      <w:marLeft w:val="0"/>
      <w:marRight w:val="0"/>
      <w:marTop w:val="0"/>
      <w:marBottom w:val="0"/>
      <w:divBdr>
        <w:top w:val="none" w:sz="0" w:space="0" w:color="auto"/>
        <w:left w:val="none" w:sz="0" w:space="0" w:color="auto"/>
        <w:bottom w:val="none" w:sz="0" w:space="0" w:color="auto"/>
        <w:right w:val="none" w:sz="0" w:space="0" w:color="auto"/>
      </w:divBdr>
    </w:div>
    <w:div w:id="455028310">
      <w:bodyDiv w:val="1"/>
      <w:marLeft w:val="0"/>
      <w:marRight w:val="0"/>
      <w:marTop w:val="0"/>
      <w:marBottom w:val="0"/>
      <w:divBdr>
        <w:top w:val="none" w:sz="0" w:space="0" w:color="auto"/>
        <w:left w:val="none" w:sz="0" w:space="0" w:color="auto"/>
        <w:bottom w:val="none" w:sz="0" w:space="0" w:color="auto"/>
        <w:right w:val="none" w:sz="0" w:space="0" w:color="auto"/>
      </w:divBdr>
    </w:div>
    <w:div w:id="485904430">
      <w:bodyDiv w:val="1"/>
      <w:marLeft w:val="0"/>
      <w:marRight w:val="0"/>
      <w:marTop w:val="0"/>
      <w:marBottom w:val="0"/>
      <w:divBdr>
        <w:top w:val="none" w:sz="0" w:space="0" w:color="auto"/>
        <w:left w:val="none" w:sz="0" w:space="0" w:color="auto"/>
        <w:bottom w:val="none" w:sz="0" w:space="0" w:color="auto"/>
        <w:right w:val="none" w:sz="0" w:space="0" w:color="auto"/>
      </w:divBdr>
    </w:div>
    <w:div w:id="507410653">
      <w:bodyDiv w:val="1"/>
      <w:marLeft w:val="0"/>
      <w:marRight w:val="0"/>
      <w:marTop w:val="0"/>
      <w:marBottom w:val="0"/>
      <w:divBdr>
        <w:top w:val="none" w:sz="0" w:space="0" w:color="auto"/>
        <w:left w:val="none" w:sz="0" w:space="0" w:color="auto"/>
        <w:bottom w:val="none" w:sz="0" w:space="0" w:color="auto"/>
        <w:right w:val="none" w:sz="0" w:space="0" w:color="auto"/>
      </w:divBdr>
    </w:div>
    <w:div w:id="550969447">
      <w:bodyDiv w:val="1"/>
      <w:marLeft w:val="0"/>
      <w:marRight w:val="0"/>
      <w:marTop w:val="0"/>
      <w:marBottom w:val="0"/>
      <w:divBdr>
        <w:top w:val="none" w:sz="0" w:space="0" w:color="auto"/>
        <w:left w:val="none" w:sz="0" w:space="0" w:color="auto"/>
        <w:bottom w:val="none" w:sz="0" w:space="0" w:color="auto"/>
        <w:right w:val="none" w:sz="0" w:space="0" w:color="auto"/>
      </w:divBdr>
    </w:div>
    <w:div w:id="609702146">
      <w:bodyDiv w:val="1"/>
      <w:marLeft w:val="0"/>
      <w:marRight w:val="0"/>
      <w:marTop w:val="0"/>
      <w:marBottom w:val="0"/>
      <w:divBdr>
        <w:top w:val="none" w:sz="0" w:space="0" w:color="auto"/>
        <w:left w:val="none" w:sz="0" w:space="0" w:color="auto"/>
        <w:bottom w:val="none" w:sz="0" w:space="0" w:color="auto"/>
        <w:right w:val="none" w:sz="0" w:space="0" w:color="auto"/>
      </w:divBdr>
    </w:div>
    <w:div w:id="770857183">
      <w:bodyDiv w:val="1"/>
      <w:marLeft w:val="0"/>
      <w:marRight w:val="0"/>
      <w:marTop w:val="0"/>
      <w:marBottom w:val="0"/>
      <w:divBdr>
        <w:top w:val="none" w:sz="0" w:space="0" w:color="auto"/>
        <w:left w:val="none" w:sz="0" w:space="0" w:color="auto"/>
        <w:bottom w:val="none" w:sz="0" w:space="0" w:color="auto"/>
        <w:right w:val="none" w:sz="0" w:space="0" w:color="auto"/>
      </w:divBdr>
    </w:div>
    <w:div w:id="789320106">
      <w:bodyDiv w:val="1"/>
      <w:marLeft w:val="0"/>
      <w:marRight w:val="0"/>
      <w:marTop w:val="0"/>
      <w:marBottom w:val="0"/>
      <w:divBdr>
        <w:top w:val="none" w:sz="0" w:space="0" w:color="auto"/>
        <w:left w:val="none" w:sz="0" w:space="0" w:color="auto"/>
        <w:bottom w:val="none" w:sz="0" w:space="0" w:color="auto"/>
        <w:right w:val="none" w:sz="0" w:space="0" w:color="auto"/>
      </w:divBdr>
    </w:div>
    <w:div w:id="1039672249">
      <w:bodyDiv w:val="1"/>
      <w:marLeft w:val="0"/>
      <w:marRight w:val="0"/>
      <w:marTop w:val="0"/>
      <w:marBottom w:val="0"/>
      <w:divBdr>
        <w:top w:val="none" w:sz="0" w:space="0" w:color="auto"/>
        <w:left w:val="none" w:sz="0" w:space="0" w:color="auto"/>
        <w:bottom w:val="none" w:sz="0" w:space="0" w:color="auto"/>
        <w:right w:val="none" w:sz="0" w:space="0" w:color="auto"/>
      </w:divBdr>
    </w:div>
    <w:div w:id="1048843767">
      <w:bodyDiv w:val="1"/>
      <w:marLeft w:val="0"/>
      <w:marRight w:val="0"/>
      <w:marTop w:val="0"/>
      <w:marBottom w:val="0"/>
      <w:divBdr>
        <w:top w:val="none" w:sz="0" w:space="0" w:color="auto"/>
        <w:left w:val="none" w:sz="0" w:space="0" w:color="auto"/>
        <w:bottom w:val="none" w:sz="0" w:space="0" w:color="auto"/>
        <w:right w:val="none" w:sz="0" w:space="0" w:color="auto"/>
      </w:divBdr>
    </w:div>
    <w:div w:id="1059749774">
      <w:bodyDiv w:val="1"/>
      <w:marLeft w:val="0"/>
      <w:marRight w:val="0"/>
      <w:marTop w:val="0"/>
      <w:marBottom w:val="0"/>
      <w:divBdr>
        <w:top w:val="none" w:sz="0" w:space="0" w:color="auto"/>
        <w:left w:val="none" w:sz="0" w:space="0" w:color="auto"/>
        <w:bottom w:val="none" w:sz="0" w:space="0" w:color="auto"/>
        <w:right w:val="none" w:sz="0" w:space="0" w:color="auto"/>
      </w:divBdr>
    </w:div>
    <w:div w:id="1158887593">
      <w:bodyDiv w:val="1"/>
      <w:marLeft w:val="0"/>
      <w:marRight w:val="0"/>
      <w:marTop w:val="0"/>
      <w:marBottom w:val="0"/>
      <w:divBdr>
        <w:top w:val="none" w:sz="0" w:space="0" w:color="auto"/>
        <w:left w:val="none" w:sz="0" w:space="0" w:color="auto"/>
        <w:bottom w:val="none" w:sz="0" w:space="0" w:color="auto"/>
        <w:right w:val="none" w:sz="0" w:space="0" w:color="auto"/>
      </w:divBdr>
    </w:div>
    <w:div w:id="1210264742">
      <w:bodyDiv w:val="1"/>
      <w:marLeft w:val="0"/>
      <w:marRight w:val="0"/>
      <w:marTop w:val="0"/>
      <w:marBottom w:val="0"/>
      <w:divBdr>
        <w:top w:val="none" w:sz="0" w:space="0" w:color="auto"/>
        <w:left w:val="none" w:sz="0" w:space="0" w:color="auto"/>
        <w:bottom w:val="none" w:sz="0" w:space="0" w:color="auto"/>
        <w:right w:val="none" w:sz="0" w:space="0" w:color="auto"/>
      </w:divBdr>
    </w:div>
    <w:div w:id="1214923710">
      <w:bodyDiv w:val="1"/>
      <w:marLeft w:val="0"/>
      <w:marRight w:val="0"/>
      <w:marTop w:val="0"/>
      <w:marBottom w:val="0"/>
      <w:divBdr>
        <w:top w:val="none" w:sz="0" w:space="0" w:color="auto"/>
        <w:left w:val="none" w:sz="0" w:space="0" w:color="auto"/>
        <w:bottom w:val="none" w:sz="0" w:space="0" w:color="auto"/>
        <w:right w:val="none" w:sz="0" w:space="0" w:color="auto"/>
      </w:divBdr>
    </w:div>
    <w:div w:id="1267926167">
      <w:bodyDiv w:val="1"/>
      <w:marLeft w:val="0"/>
      <w:marRight w:val="0"/>
      <w:marTop w:val="0"/>
      <w:marBottom w:val="0"/>
      <w:divBdr>
        <w:top w:val="none" w:sz="0" w:space="0" w:color="auto"/>
        <w:left w:val="none" w:sz="0" w:space="0" w:color="auto"/>
        <w:bottom w:val="none" w:sz="0" w:space="0" w:color="auto"/>
        <w:right w:val="none" w:sz="0" w:space="0" w:color="auto"/>
      </w:divBdr>
    </w:div>
    <w:div w:id="1277563293">
      <w:bodyDiv w:val="1"/>
      <w:marLeft w:val="0"/>
      <w:marRight w:val="0"/>
      <w:marTop w:val="0"/>
      <w:marBottom w:val="0"/>
      <w:divBdr>
        <w:top w:val="none" w:sz="0" w:space="0" w:color="auto"/>
        <w:left w:val="none" w:sz="0" w:space="0" w:color="auto"/>
        <w:bottom w:val="none" w:sz="0" w:space="0" w:color="auto"/>
        <w:right w:val="none" w:sz="0" w:space="0" w:color="auto"/>
      </w:divBdr>
    </w:div>
    <w:div w:id="1586762085">
      <w:bodyDiv w:val="1"/>
      <w:marLeft w:val="0"/>
      <w:marRight w:val="0"/>
      <w:marTop w:val="0"/>
      <w:marBottom w:val="0"/>
      <w:divBdr>
        <w:top w:val="none" w:sz="0" w:space="0" w:color="auto"/>
        <w:left w:val="none" w:sz="0" w:space="0" w:color="auto"/>
        <w:bottom w:val="none" w:sz="0" w:space="0" w:color="auto"/>
        <w:right w:val="none" w:sz="0" w:space="0" w:color="auto"/>
      </w:divBdr>
    </w:div>
    <w:div w:id="1665009580">
      <w:bodyDiv w:val="1"/>
      <w:marLeft w:val="0"/>
      <w:marRight w:val="0"/>
      <w:marTop w:val="0"/>
      <w:marBottom w:val="0"/>
      <w:divBdr>
        <w:top w:val="none" w:sz="0" w:space="0" w:color="auto"/>
        <w:left w:val="none" w:sz="0" w:space="0" w:color="auto"/>
        <w:bottom w:val="none" w:sz="0" w:space="0" w:color="auto"/>
        <w:right w:val="none" w:sz="0" w:space="0" w:color="auto"/>
      </w:divBdr>
    </w:div>
    <w:div w:id="1694726056">
      <w:bodyDiv w:val="1"/>
      <w:marLeft w:val="0"/>
      <w:marRight w:val="0"/>
      <w:marTop w:val="0"/>
      <w:marBottom w:val="0"/>
      <w:divBdr>
        <w:top w:val="none" w:sz="0" w:space="0" w:color="auto"/>
        <w:left w:val="none" w:sz="0" w:space="0" w:color="auto"/>
        <w:bottom w:val="none" w:sz="0" w:space="0" w:color="auto"/>
        <w:right w:val="none" w:sz="0" w:space="0" w:color="auto"/>
      </w:divBdr>
    </w:div>
    <w:div w:id="1740517673">
      <w:bodyDiv w:val="1"/>
      <w:marLeft w:val="0"/>
      <w:marRight w:val="0"/>
      <w:marTop w:val="0"/>
      <w:marBottom w:val="0"/>
      <w:divBdr>
        <w:top w:val="none" w:sz="0" w:space="0" w:color="auto"/>
        <w:left w:val="none" w:sz="0" w:space="0" w:color="auto"/>
        <w:bottom w:val="none" w:sz="0" w:space="0" w:color="auto"/>
        <w:right w:val="none" w:sz="0" w:space="0" w:color="auto"/>
      </w:divBdr>
    </w:div>
    <w:div w:id="1878202138">
      <w:bodyDiv w:val="1"/>
      <w:marLeft w:val="0"/>
      <w:marRight w:val="0"/>
      <w:marTop w:val="0"/>
      <w:marBottom w:val="0"/>
      <w:divBdr>
        <w:top w:val="none" w:sz="0" w:space="0" w:color="auto"/>
        <w:left w:val="none" w:sz="0" w:space="0" w:color="auto"/>
        <w:bottom w:val="none" w:sz="0" w:space="0" w:color="auto"/>
        <w:right w:val="none" w:sz="0" w:space="0" w:color="auto"/>
      </w:divBdr>
    </w:div>
    <w:div w:id="1897088037">
      <w:bodyDiv w:val="1"/>
      <w:marLeft w:val="0"/>
      <w:marRight w:val="0"/>
      <w:marTop w:val="0"/>
      <w:marBottom w:val="0"/>
      <w:divBdr>
        <w:top w:val="none" w:sz="0" w:space="0" w:color="auto"/>
        <w:left w:val="none" w:sz="0" w:space="0" w:color="auto"/>
        <w:bottom w:val="none" w:sz="0" w:space="0" w:color="auto"/>
        <w:right w:val="none" w:sz="0" w:space="0" w:color="auto"/>
      </w:divBdr>
    </w:div>
    <w:div w:id="1955865806">
      <w:bodyDiv w:val="1"/>
      <w:marLeft w:val="0"/>
      <w:marRight w:val="0"/>
      <w:marTop w:val="0"/>
      <w:marBottom w:val="0"/>
      <w:divBdr>
        <w:top w:val="none" w:sz="0" w:space="0" w:color="auto"/>
        <w:left w:val="none" w:sz="0" w:space="0" w:color="auto"/>
        <w:bottom w:val="none" w:sz="0" w:space="0" w:color="auto"/>
        <w:right w:val="none" w:sz="0" w:space="0" w:color="auto"/>
      </w:divBdr>
    </w:div>
    <w:div w:id="2074935421">
      <w:bodyDiv w:val="1"/>
      <w:marLeft w:val="0"/>
      <w:marRight w:val="0"/>
      <w:marTop w:val="0"/>
      <w:marBottom w:val="0"/>
      <w:divBdr>
        <w:top w:val="none" w:sz="0" w:space="0" w:color="auto"/>
        <w:left w:val="none" w:sz="0" w:space="0" w:color="auto"/>
        <w:bottom w:val="none" w:sz="0" w:space="0" w:color="auto"/>
        <w:right w:val="none" w:sz="0" w:space="0" w:color="auto"/>
      </w:divBdr>
    </w:div>
    <w:div w:id="2086141960">
      <w:bodyDiv w:val="1"/>
      <w:marLeft w:val="0"/>
      <w:marRight w:val="0"/>
      <w:marTop w:val="0"/>
      <w:marBottom w:val="0"/>
      <w:divBdr>
        <w:top w:val="none" w:sz="0" w:space="0" w:color="auto"/>
        <w:left w:val="none" w:sz="0" w:space="0" w:color="auto"/>
        <w:bottom w:val="none" w:sz="0" w:space="0" w:color="auto"/>
        <w:right w:val="none" w:sz="0" w:space="0" w:color="auto"/>
      </w:divBdr>
    </w:div>
    <w:div w:id="209211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hyperlink" Target="http://www.pc.gov.au/inquiries/completed/cost-recovery/report" TargetMode="External" Id="rId18" /><Relationship Type="http://schemas.openxmlformats.org/officeDocument/2006/relationships/hyperlink" Target="https://www.treasury.sa.gov.au/budget/compliance-and-resources/treasurers-instructions" TargetMode="External" Id="rId26" /><Relationship Type="http://schemas.openxmlformats.org/officeDocument/2006/relationships/numbering" Target="numbering.xml" Id="rId3" /><Relationship Type="http://schemas.openxmlformats.org/officeDocument/2006/relationships/hyperlink" Target="https://www.finance.gov.au/publications/resource-management-guides/australian-government-cost-recovery-guidelines-rmg-304" TargetMode="External" Id="rId21" /><Relationship Type="http://schemas.openxmlformats.org/officeDocument/2006/relationships/hyperlink" Target="https://www.treasury.sa.gov.au/budget/compliance-and-resources/treasurers-instructions" TargetMode="External" Id="rId34"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hyperlink" Target="https://www.finance.gov.au/publications/resource-management-guides/australian-government-cost-recovery-guidelines-rmg-304" TargetMode="External" Id="rId17" /><Relationship Type="http://schemas.openxmlformats.org/officeDocument/2006/relationships/hyperlink" Target="https://www.dpc.sa.gov.au/responsibilities/cabinet-and-executive-council/cabinet/what-goes-to-cabinet/cabinet-submissions" TargetMode="External" Id="rId25" /><Relationship Type="http://schemas.openxmlformats.org/officeDocument/2006/relationships/hyperlink" Target="https://www.treasury.sa.gov.au/budget/compliance-and-resources/treasurers-instructions"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eader" Target="header5.xml" Id="rId16" /><Relationship Type="http://schemas.openxmlformats.org/officeDocument/2006/relationships/hyperlink" Target="http://www.pc.gov.au/inquiries/completed/cost-recovery/report" TargetMode="External" Id="rId20" /><Relationship Type="http://schemas.openxmlformats.org/officeDocument/2006/relationships/hyperlink" Target="http://www.pc.gov.au/inquiries/completed/cost-recovery/report" TargetMode="External" Id="rId29"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hyperlink" Target="http://www.pc.gov.au/inquiries/completed/cost-recovery/report" TargetMode="External" Id="rId24" /><Relationship Type="http://schemas.openxmlformats.org/officeDocument/2006/relationships/hyperlink" Target="https://www.treasury.sa.gov.au/budget/current-budget/previous-budgets/budget-2010-11" TargetMode="External" Id="rId32" /><Relationship Type="http://schemas.openxmlformats.org/officeDocument/2006/relationships/fontTable" Target="fontTable.xml" Id="rId37"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https://www.finance.gov.au/government/managing-commonwealth-resources/managing-money-property/managing-money/australian-government-charging-framework" TargetMode="External" Id="rId23" /><Relationship Type="http://schemas.openxmlformats.org/officeDocument/2006/relationships/hyperlink" Target="https://www.finance.gov.au/government/managing-commonwealth-resources/managing-money-property/managing-money/australian-government-charging-framework" TargetMode="External" Id="rId28" /><Relationship Type="http://schemas.openxmlformats.org/officeDocument/2006/relationships/header" Target="header7.xml" Id="rId36" /><Relationship Type="http://schemas.openxmlformats.org/officeDocument/2006/relationships/footer" Target="footer1.xml" Id="rId10" /><Relationship Type="http://schemas.openxmlformats.org/officeDocument/2006/relationships/hyperlink" Target="https://www.finance.gov.au/publications/resource-management-guides/australian-government-cost-recovery-guidelines-rmg-304" TargetMode="External" Id="rId19" /><Relationship Type="http://schemas.openxmlformats.org/officeDocument/2006/relationships/hyperlink" Target="https://www.dpc.sa.gov.au/responsibilities/cabinet-and-executive-council/cabinet/what-goes-to-cabinet/cabinet-submissions" TargetMode="External" Id="rId31"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eader" Target="header4.xml" Id="rId14" /><Relationship Type="http://schemas.openxmlformats.org/officeDocument/2006/relationships/image" Target="media/image3.emf" Id="rId22" /><Relationship Type="http://schemas.openxmlformats.org/officeDocument/2006/relationships/hyperlink" Target="https://www.finance.gov.au/publications/resource-management-guides/australian-government-cost-recovery-guidelines-rmg-304" TargetMode="External" Id="rId27" /><Relationship Type="http://schemas.openxmlformats.org/officeDocument/2006/relationships/hyperlink" Target="http://bettertogether.sa.gov.au/principles-of-engagement" TargetMode="External" Id="rId30" /><Relationship Type="http://schemas.openxmlformats.org/officeDocument/2006/relationships/header" Target="header6.xml" Id="rId35" /><Relationship Type="http://schemas.openxmlformats.org/officeDocument/2006/relationships/customXml" Target="/customXML/item3.xml" Id="R803050b1c6d241db"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3D2A87C8A9941445E0533AF0780A13BC" version="1.0.0">
  <systemFields>
    <field name="Objective-Id">
      <value order="0">A3593611</value>
    </field>
    <field name="Objective-Title">
      <value order="0">PIRSA Cost Recovery Policy GO P 014 - Internet Website Version</value>
    </field>
    <field name="Objective-Description">
      <value order="0"/>
    </field>
    <field name="Objective-CreationStamp">
      <value order="0">2018-05-21T22:58:21Z</value>
    </field>
    <field name="Objective-IsApproved">
      <value order="0">false</value>
    </field>
    <field name="Objective-IsPublished">
      <value order="0">true</value>
    </field>
    <field name="Objective-DatePublished">
      <value order="0">2020-07-01T06:15:15Z</value>
    </field>
    <field name="Objective-ModificationStamp">
      <value order="0">2020-07-01T23:12:33Z</value>
    </field>
    <field name="Objective-Owner">
      <value order="0">Snaith, Peter</value>
    </field>
    <field name="Objective-Path">
      <value order="0">Global Folder:01 Corporate Services:Agency Governance:Policies &amp; Procedures:Cost Recovery:AGENCY GOVERNANCE - Policies &amp; Procedures - Cost Recovery - PIRSA Cost Recovery Policy GO P 014:01 PIRSA Cost Recovery Policy GO P 014 Current Approved Version:PIRSA Internet Website Version</value>
    </field>
    <field name="Objective-Parent">
      <value order="0">PIRSA Internet Website Version</value>
    </field>
    <field name="Objective-State">
      <value order="0">Published</value>
    </field>
    <field name="Objective-VersionId">
      <value order="0">vA7375487</value>
    </field>
    <field name="Objective-Version">
      <value order="0">4.0</value>
    </field>
    <field name="Objective-VersionNumber">
      <value order="0">4</value>
    </field>
    <field name="Objective-VersionComment">
      <value order="0"/>
    </field>
    <field name="Objective-FileNumber">
      <value order="0">CORP F2010/001094</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Chief Executives Office CEO</value>
      </field>
      <field name="Objective-Workgroup">
        <value order="0">CEO CE's Office</value>
      </field>
      <field name="Objective-Section">
        <value order="0"/>
      </field>
      <field name="Objective-Document Type">
        <value order="0">Policy</value>
      </field>
      <field name="Objective-Security Classification">
        <value order="0">01 Public</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This policy establishes principles to enable PIRSA to make consistent decisions on the appropriate recovery of costs of PIRSA's goods and services. It is intended to improve the consistency, transparency and accountability of existing and future cost recovery arrangements, assist in establishing the appropriate levels of service delivery, and promote the efficient and equitable allocation of resources.
</value>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cost, recovery, policy, principles, goods, industry, price, pricing, products, services</value>
      </field>
      <field name="Objective-Intranet_Publishing_Requirement">
        <value order="0"/>
      </field>
      <field name="Objective-Intranet_Publishing_Instructions">
        <value order="0"/>
      </field>
      <field name="Objective-Document Published Version URL Link">
        <value order="0">https://objectivesag.pirsa.sa.gov.au/id:A3593611/document/versions/published</value>
      </field>
      <field name="Objective-Intranet URL Keyword">
        <value order="0">%globals_asset_metadata_PublishedURL%</value>
      </field>
      <field name="Objective-Intranet Short Name">
        <value order="0">A3593611</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Murray, Neil</value>
      </field>
      <field name="Objective-Internet Publishing Requestor Email">
        <value order="0">Neil.Murray@sa.gov.au</value>
      </field>
      <field name="Objective-Internet Publisher Group">
        <value order="0">CORP ICT Internet Website Publishing Workflow Group</value>
      </field>
      <field name="Objective-Internet Publisher Contact">
        <value order="0">Bennett, Corinna</value>
      </field>
      <field name="Objective-Internet Publisher Email">
        <value order="0">Corinna.Bennett6@sa.gov.au</value>
      </field>
      <field name="Objective-Internet Friendly Name">
        <value order="0">Cost Recovery Policy</value>
      </field>
      <field name="Objective-Internet Document Type">
        <value order="0">Legislation or Policy</value>
      </field>
      <field name="Objective-Internet Publishing Requirement">
        <value order="0">Update Existing Website Document &amp; Information Published</value>
      </field>
      <field name="Objective-Internet Publishing Instructions or Page URI">
        <value order="0">Please update the file PIRSA Cost Recovery Policy GO P 014 - currently published on the PIRSA Website &gt; About Us &gt; Corporate Policies website http://pir.sa.gov.au/top_menu/about_us/corporate_policies under the 'Cost recovery policy' heading.
No other changes to the website content are required.  Please contact me if you need any further information.
(Previous instructions here which I have edited related to replacing the document with a new document in Objective. I've edited as best I can but not sure what info normally goes in here....)</value>
      </field>
      <field name="Objective-Date Document Released">
        <value order="0">2019-08-22T14:30:00Z</value>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Yes</value>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2019-08-27T14:30:00Z</value>
      </field>
      <field name="Objective-Date Internet Document &amp; CSV File Next Review Due">
        <value order="0">2020-02-27T14:30:00Z</value>
      </field>
      <field name="Objective-Date Internet Document &amp; CSV File Removed from Website">
        <value order="0"/>
      </field>
      <field name="Objective-Internet Publishing CSV File Operation">
        <value order="0">E</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Public Domain</value>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00EB7325-5381-4174-B784-57BCFC08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3536</Words>
  <Characters>23396</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PIRSA PPGS Guideline</vt:lpstr>
    </vt:vector>
  </TitlesOfParts>
  <Company>PIRSA</Company>
  <LinksUpToDate>false</LinksUpToDate>
  <CharactersWithSpaces>26879</CharactersWithSpaces>
  <SharedDoc>false</SharedDoc>
  <HLinks>
    <vt:vector size="84" baseType="variant">
      <vt:variant>
        <vt:i4>1769499</vt:i4>
      </vt:variant>
      <vt:variant>
        <vt:i4>84</vt:i4>
      </vt:variant>
      <vt:variant>
        <vt:i4>0</vt:i4>
      </vt:variant>
      <vt:variant>
        <vt:i4>5</vt:i4>
      </vt:variant>
      <vt:variant>
        <vt:lpwstr>http://intranet.pirsa.sa.gov.au/_media/pirsa_intranet/isp/policy_management/PIRSA_Policies_Procedures_Guidelines__and__Standards_PPGS_Style_Guide_IM_G_032.doc</vt:lpwstr>
      </vt:variant>
      <vt:variant>
        <vt:lpwstr/>
      </vt:variant>
      <vt:variant>
        <vt:i4>6160461</vt:i4>
      </vt:variant>
      <vt:variant>
        <vt:i4>81</vt:i4>
      </vt:variant>
      <vt:variant>
        <vt:i4>0</vt:i4>
      </vt:variant>
      <vt:variant>
        <vt:i4>5</vt:i4>
      </vt:variant>
      <vt:variant>
        <vt:lpwstr>http://intranet.pirsa.sa.gov.au/__data/assets/word_doc/0004/55084/PIRSA_Policy_Development__and__Management_Framework_Policy_GO_P_001.doc</vt:lpwstr>
      </vt:variant>
      <vt:variant>
        <vt:lpwstr/>
      </vt:variant>
      <vt:variant>
        <vt:i4>1376308</vt:i4>
      </vt:variant>
      <vt:variant>
        <vt:i4>74</vt:i4>
      </vt:variant>
      <vt:variant>
        <vt:i4>0</vt:i4>
      </vt:variant>
      <vt:variant>
        <vt:i4>5</vt:i4>
      </vt:variant>
      <vt:variant>
        <vt:lpwstr/>
      </vt:variant>
      <vt:variant>
        <vt:lpwstr>_Toc301427412</vt:lpwstr>
      </vt:variant>
      <vt:variant>
        <vt:i4>1376308</vt:i4>
      </vt:variant>
      <vt:variant>
        <vt:i4>68</vt:i4>
      </vt:variant>
      <vt:variant>
        <vt:i4>0</vt:i4>
      </vt:variant>
      <vt:variant>
        <vt:i4>5</vt:i4>
      </vt:variant>
      <vt:variant>
        <vt:lpwstr/>
      </vt:variant>
      <vt:variant>
        <vt:lpwstr>_Toc301427411</vt:lpwstr>
      </vt:variant>
      <vt:variant>
        <vt:i4>1376308</vt:i4>
      </vt:variant>
      <vt:variant>
        <vt:i4>62</vt:i4>
      </vt:variant>
      <vt:variant>
        <vt:i4>0</vt:i4>
      </vt:variant>
      <vt:variant>
        <vt:i4>5</vt:i4>
      </vt:variant>
      <vt:variant>
        <vt:lpwstr/>
      </vt:variant>
      <vt:variant>
        <vt:lpwstr>_Toc301427410</vt:lpwstr>
      </vt:variant>
      <vt:variant>
        <vt:i4>1310772</vt:i4>
      </vt:variant>
      <vt:variant>
        <vt:i4>56</vt:i4>
      </vt:variant>
      <vt:variant>
        <vt:i4>0</vt:i4>
      </vt:variant>
      <vt:variant>
        <vt:i4>5</vt:i4>
      </vt:variant>
      <vt:variant>
        <vt:lpwstr/>
      </vt:variant>
      <vt:variant>
        <vt:lpwstr>_Toc301427409</vt:lpwstr>
      </vt:variant>
      <vt:variant>
        <vt:i4>1310772</vt:i4>
      </vt:variant>
      <vt:variant>
        <vt:i4>50</vt:i4>
      </vt:variant>
      <vt:variant>
        <vt:i4>0</vt:i4>
      </vt:variant>
      <vt:variant>
        <vt:i4>5</vt:i4>
      </vt:variant>
      <vt:variant>
        <vt:lpwstr/>
      </vt:variant>
      <vt:variant>
        <vt:lpwstr>_Toc301427408</vt:lpwstr>
      </vt:variant>
      <vt:variant>
        <vt:i4>1310772</vt:i4>
      </vt:variant>
      <vt:variant>
        <vt:i4>44</vt:i4>
      </vt:variant>
      <vt:variant>
        <vt:i4>0</vt:i4>
      </vt:variant>
      <vt:variant>
        <vt:i4>5</vt:i4>
      </vt:variant>
      <vt:variant>
        <vt:lpwstr/>
      </vt:variant>
      <vt:variant>
        <vt:lpwstr>_Toc301427407</vt:lpwstr>
      </vt:variant>
      <vt:variant>
        <vt:i4>1310772</vt:i4>
      </vt:variant>
      <vt:variant>
        <vt:i4>38</vt:i4>
      </vt:variant>
      <vt:variant>
        <vt:i4>0</vt:i4>
      </vt:variant>
      <vt:variant>
        <vt:i4>5</vt:i4>
      </vt:variant>
      <vt:variant>
        <vt:lpwstr/>
      </vt:variant>
      <vt:variant>
        <vt:lpwstr>_Toc301427406</vt:lpwstr>
      </vt:variant>
      <vt:variant>
        <vt:i4>1310772</vt:i4>
      </vt:variant>
      <vt:variant>
        <vt:i4>32</vt:i4>
      </vt:variant>
      <vt:variant>
        <vt:i4>0</vt:i4>
      </vt:variant>
      <vt:variant>
        <vt:i4>5</vt:i4>
      </vt:variant>
      <vt:variant>
        <vt:lpwstr/>
      </vt:variant>
      <vt:variant>
        <vt:lpwstr>_Toc301427405</vt:lpwstr>
      </vt:variant>
      <vt:variant>
        <vt:i4>1310772</vt:i4>
      </vt:variant>
      <vt:variant>
        <vt:i4>26</vt:i4>
      </vt:variant>
      <vt:variant>
        <vt:i4>0</vt:i4>
      </vt:variant>
      <vt:variant>
        <vt:i4>5</vt:i4>
      </vt:variant>
      <vt:variant>
        <vt:lpwstr/>
      </vt:variant>
      <vt:variant>
        <vt:lpwstr>_Toc301427404</vt:lpwstr>
      </vt:variant>
      <vt:variant>
        <vt:i4>1310772</vt:i4>
      </vt:variant>
      <vt:variant>
        <vt:i4>20</vt:i4>
      </vt:variant>
      <vt:variant>
        <vt:i4>0</vt:i4>
      </vt:variant>
      <vt:variant>
        <vt:i4>5</vt:i4>
      </vt:variant>
      <vt:variant>
        <vt:lpwstr/>
      </vt:variant>
      <vt:variant>
        <vt:lpwstr>_Toc301427403</vt:lpwstr>
      </vt:variant>
      <vt:variant>
        <vt:i4>1310772</vt:i4>
      </vt:variant>
      <vt:variant>
        <vt:i4>14</vt:i4>
      </vt:variant>
      <vt:variant>
        <vt:i4>0</vt:i4>
      </vt:variant>
      <vt:variant>
        <vt:i4>5</vt:i4>
      </vt:variant>
      <vt:variant>
        <vt:lpwstr/>
      </vt:variant>
      <vt:variant>
        <vt:lpwstr>_Toc301427402</vt:lpwstr>
      </vt:variant>
      <vt:variant>
        <vt:i4>1310772</vt:i4>
      </vt:variant>
      <vt:variant>
        <vt:i4>8</vt:i4>
      </vt:variant>
      <vt:variant>
        <vt:i4>0</vt:i4>
      </vt:variant>
      <vt:variant>
        <vt:i4>5</vt:i4>
      </vt:variant>
      <vt:variant>
        <vt:lpwstr/>
      </vt:variant>
      <vt:variant>
        <vt:lpwstr>_Toc301427401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PIRSA PPGS Guideline</dc:title>
  <dc:subject>PIRSA PPGS Guideline</dc:subject>
  <dc:creator>Steve Childs</dc:creator>
  <cp:lastModifiedBy>Murray, Neil (PIRSA)</cp:lastModifiedBy>
  <cp:revision>3</cp:revision>
  <cp:lastPrinted>2018-11-26T22:37:00Z</cp:lastPrinted>
  <dcterms:created xsi:type="dcterms:W3CDTF">2020-07-01T06:03:00Z</dcterms:created>
  <dcterms:modified xsi:type="dcterms:W3CDTF">2020-07-01T06:05:00Z</dcterms:modified>
  <cp:category>Guideline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Intranet Link</vt:lpwstr>
  </property>
  <property fmtid="{D5CDD505-2E9C-101B-9397-08002B2CF9AE}" pid="3" name="Objective-CreationStamp">
    <vt:filetime>2018-05-21T22:58:21Z</vt:filetime>
  </property>
  <property fmtid="{D5CDD505-2E9C-101B-9397-08002B2CF9AE}" pid="4" name="Objective-Id">
    <vt:lpwstr>A3593611</vt:lpwstr>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2020-07-01T06:15:15Z</vt:filetime>
  </property>
  <property fmtid="{D5CDD505-2E9C-101B-9397-08002B2CF9AE}" pid="8" name="Objective-ModificationStamp">
    <vt:filetime>2020-07-01T23:12:33Z</vt:filetime>
  </property>
  <property fmtid="{D5CDD505-2E9C-101B-9397-08002B2CF9AE}" pid="9" name="Objective-Owner">
    <vt:lpwstr>Snaith, Peter</vt:lpwstr>
  </property>
  <property fmtid="{D5CDD505-2E9C-101B-9397-08002B2CF9AE}" pid="10" name="Objective-Path">
    <vt:lpwstr>Global Folder:01 Corporate Services:Agency Governance:Policies &amp; Procedures:Cost Recovery:AGENCY GOVERNANCE - Policies &amp; Procedures - Cost Recovery - PIRSA Cost Recovery Policy GO P 014:01 PIRSA Cost Recovery Policy GO P 014 Current Approved Version:PIRSA Internet Website Version</vt:lpwstr>
  </property>
  <property fmtid="{D5CDD505-2E9C-101B-9397-08002B2CF9AE}" pid="11" name="Objective-Parent">
    <vt:lpwstr>PIRSA Internet Website Version</vt:lpwstr>
  </property>
  <property fmtid="{D5CDD505-2E9C-101B-9397-08002B2CF9AE}" pid="12" name="Objective-State">
    <vt:lpwstr>Published</vt:lpwstr>
  </property>
  <property fmtid="{D5CDD505-2E9C-101B-9397-08002B2CF9AE}" pid="13" name="Objective-Title">
    <vt:lpwstr>PIRSA Cost Recovery Policy GO P 014 - Internet Website Version</vt:lpwstr>
  </property>
  <property fmtid="{D5CDD505-2E9C-101B-9397-08002B2CF9AE}" pid="14" name="Objective-Version">
    <vt:lpwstr>4.0</vt:lpwstr>
  </property>
  <property fmtid="{D5CDD505-2E9C-101B-9397-08002B2CF9AE}" pid="15" name="Objective-VersionComment">
    <vt:lpwstr/>
  </property>
  <property fmtid="{D5CDD505-2E9C-101B-9397-08002B2CF9AE}" pid="16" name="Objective-VersionNumber">
    <vt:r8>4</vt:r8>
  </property>
  <property fmtid="{D5CDD505-2E9C-101B-9397-08002B2CF9AE}" pid="17" name="Objective-FileNumber">
    <vt:lpwstr>CORP F2010/001094</vt:lpwstr>
  </property>
  <property fmtid="{D5CDD505-2E9C-101B-9397-08002B2CF9AE}" pid="18" name="Objective-Classification">
    <vt:lpwstr/>
  </property>
  <property fmtid="{D5CDD505-2E9C-101B-9397-08002B2CF9AE}" pid="19" name="Objective-Caveats">
    <vt:lpwstr/>
  </property>
  <property fmtid="{D5CDD505-2E9C-101B-9397-08002B2CF9AE}" pid="20" name="Objective-Workgroup [system]">
    <vt:lpwstr>CEO CE's Office</vt:lpwstr>
  </property>
  <property fmtid="{D5CDD505-2E9C-101B-9397-08002B2CF9AE}" pid="21" name="Objective-Section [system]">
    <vt:lpwstr/>
  </property>
  <property fmtid="{D5CDD505-2E9C-101B-9397-08002B2CF9AE}" pid="22" name="Objective-Document Type [system]">
    <vt:lpwstr>Policy</vt:lpwstr>
  </property>
  <property fmtid="{D5CDD505-2E9C-101B-9397-08002B2CF9AE}" pid="23" name="Objective-Customer Person [system]">
    <vt:lpwstr/>
  </property>
  <property fmtid="{D5CDD505-2E9C-101B-9397-08002B2CF9AE}" pid="24" name="Objective-Customer Organisation [system]">
    <vt:lpwstr/>
  </property>
  <property fmtid="{D5CDD505-2E9C-101B-9397-08002B2CF9AE}" pid="25" name="Objective-Transaction Reference [system]">
    <vt:lpwstr/>
  </property>
  <property fmtid="{D5CDD505-2E9C-101B-9397-08002B2CF9AE}" pid="26" name="Objective-Place Name [system]">
    <vt:lpwstr/>
  </property>
  <property fmtid="{D5CDD505-2E9C-101B-9397-08002B2CF9AE}" pid="27" name="Objective-Description or Summary [system]">
    <vt:lpwstr>This policy establishes principles to enable PIRSA to make consistent decisions on the appropriate recovery of costs of PIRSA's goods and services. It is intended to improve the consistency, transparency and accountability of existing and future cost reco</vt:lpwstr>
  </property>
  <property fmtid="{D5CDD505-2E9C-101B-9397-08002B2CF9AE}" pid="28" name="Objective-Document Created By [system]">
    <vt:lpwstr/>
  </property>
  <property fmtid="{D5CDD505-2E9C-101B-9397-08002B2CF9AE}" pid="29" name="Objective-Date Created On - if different from Document Registration Date [system]">
    <vt:lpwstr/>
  </property>
  <property fmtid="{D5CDD505-2E9C-101B-9397-08002B2CF9AE}" pid="30" name="Objective-Date Received [system]">
    <vt:lpwstr/>
  </property>
  <property fmtid="{D5CDD505-2E9C-101B-9397-08002B2CF9AE}" pid="31" name="Objective-Action Delegator [system]">
    <vt:lpwstr/>
  </property>
  <property fmtid="{D5CDD505-2E9C-101B-9397-08002B2CF9AE}" pid="32" name="Objective-Action Officer [system]">
    <vt:lpwstr/>
  </property>
  <property fmtid="{D5CDD505-2E9C-101B-9397-08002B2CF9AE}" pid="33" name="Objective-Action Required [system]">
    <vt:lpwstr/>
  </property>
  <property fmtid="{D5CDD505-2E9C-101B-9397-08002B2CF9AE}" pid="34" name="Objective-Date Action Due By [system]">
    <vt:lpwstr/>
  </property>
  <property fmtid="{D5CDD505-2E9C-101B-9397-08002B2CF9AE}" pid="35" name="Objective-Date Action Assigned [system]">
    <vt:lpwstr/>
  </property>
  <property fmtid="{D5CDD505-2E9C-101B-9397-08002B2CF9AE}" pid="36" name="Objective-Action Approved by [system]">
    <vt:lpwstr/>
  </property>
  <property fmtid="{D5CDD505-2E9C-101B-9397-08002B2CF9AE}" pid="37" name="Objective-Date Action Approved [system]">
    <vt:lpwstr/>
  </property>
  <property fmtid="{D5CDD505-2E9C-101B-9397-08002B2CF9AE}" pid="38" name="Objective-Date Interim Reply Sent [system]">
    <vt:lpwstr/>
  </property>
  <property fmtid="{D5CDD505-2E9C-101B-9397-08002B2CF9AE}" pid="39" name="Objective-Date Final Reply Sent [system]">
    <vt:lpwstr/>
  </property>
  <property fmtid="{D5CDD505-2E9C-101B-9397-08002B2CF9AE}" pid="40" name="Objective-Date Completed On [system]">
    <vt:lpwstr/>
  </property>
  <property fmtid="{D5CDD505-2E9C-101B-9397-08002B2CF9AE}" pid="41" name="Objective-Covers Period From [system]">
    <vt:lpwstr/>
  </property>
  <property fmtid="{D5CDD505-2E9C-101B-9397-08002B2CF9AE}" pid="42" name="Objective-Covers Period To [system]">
    <vt:lpwstr/>
  </property>
  <property fmtid="{D5CDD505-2E9C-101B-9397-08002B2CF9AE}" pid="43" name="Objective-Security Classification [system]">
    <vt:lpwstr>01 Public</vt:lpwstr>
  </property>
  <property fmtid="{D5CDD505-2E9C-101B-9397-08002B2CF9AE}" pid="44" name="Objective-Access Rights [system]">
    <vt:lpwstr>Closed</vt:lpwstr>
  </property>
  <property fmtid="{D5CDD505-2E9C-101B-9397-08002B2CF9AE}" pid="45" name="Objective-Vital Record Indicator [system]">
    <vt:lpwstr>No</vt:lpwstr>
  </property>
  <property fmtid="{D5CDD505-2E9C-101B-9397-08002B2CF9AE}" pid="46" name="Objective-Access Security Review Due Date [system]">
    <vt:lpwstr/>
  </property>
  <property fmtid="{D5CDD505-2E9C-101B-9397-08002B2CF9AE}" pid="47" name="Objective-Free Text Subjects [system]">
    <vt:lpwstr>cost, recovery, policy, go p 014, industry, allocation, arrangements, delivery, goods, service, services, delivery, resources, transparency, price, pricing, product, products, services, stages, activity, costing, accountabilty, applying, reflective, stage</vt:lpwstr>
  </property>
  <property fmtid="{D5CDD505-2E9C-101B-9397-08002B2CF9AE}" pid="48" name="Objective-Internal Reference [system]">
    <vt:lpwstr/>
  </property>
  <property fmtid="{D5CDD505-2E9C-101B-9397-08002B2CF9AE}" pid="49" name="Objective-Media Storage Format [system]">
    <vt:lpwstr>Text</vt:lpwstr>
  </property>
  <property fmtid="{D5CDD505-2E9C-101B-9397-08002B2CF9AE}" pid="50" name="Objective-Jurisdiction [system]">
    <vt:lpwstr>SA</vt:lpwstr>
  </property>
  <property fmtid="{D5CDD505-2E9C-101B-9397-08002B2CF9AE}" pid="51" name="Objective-Language [system]">
    <vt:lpwstr>English (en)</vt:lpwstr>
  </property>
  <property fmtid="{D5CDD505-2E9C-101B-9397-08002B2CF9AE}" pid="52" name="Objective-Intellectual Property Rights [system]">
    <vt:lpwstr>SA Government</vt:lpwstr>
  </property>
  <property fmtid="{D5CDD505-2E9C-101B-9397-08002B2CF9AE}" pid="53" name="Objective-Agency [system]">
    <vt:lpwstr>Primary Industries and Regions SA</vt:lpwstr>
  </property>
  <property fmtid="{D5CDD505-2E9C-101B-9397-08002B2CF9AE}" pid="54" name="Objective-Business Division [system]">
    <vt:lpwstr>Chief Executives Office CEO</vt:lpwstr>
  </property>
  <property fmtid="{D5CDD505-2E9C-101B-9397-08002B2CF9AE}" pid="55" name="Objective-Document Created By - if different from User Registering Document [system]">
    <vt:lpwstr/>
  </property>
  <property fmtid="{D5CDD505-2E9C-101B-9397-08002B2CF9AE}" pid="56" name="Objective-Date_Completed_On [system]">
    <vt:lpwstr/>
  </property>
  <property fmtid="{D5CDD505-2E9C-101B-9397-08002B2CF9AE}" pid="57" name="Objective-Vital Records Review Due Date [system]">
    <vt:lpwstr/>
  </property>
  <property fmtid="{D5CDD505-2E9C-101B-9397-08002B2CF9AE}" pid="58" name="Objective-Media_Storage_Format [system]">
    <vt:lpwstr>Text</vt:lpwstr>
  </property>
  <property fmtid="{D5CDD505-2E9C-101B-9397-08002B2CF9AE}" pid="59" name="Objective-Intellectual_Property_Rights [system]">
    <vt:lpwstr>SA Government</vt:lpwstr>
  </property>
  <property fmtid="{D5CDD505-2E9C-101B-9397-08002B2CF9AE}" pid="60" name="Objective-Disposal Reasons [system]">
    <vt:lpwstr/>
  </property>
  <property fmtid="{D5CDD505-2E9C-101B-9397-08002B2CF9AE}" pid="61" name="Objective-Date to be Exported [system]">
    <vt:lpwstr/>
  </property>
  <property fmtid="{D5CDD505-2E9C-101B-9397-08002B2CF9AE}" pid="62" name="Objective-Old Agency [system]">
    <vt:lpwstr>z Primary Industries and Resources SA - INACTIVE</vt:lpwstr>
  </property>
  <property fmtid="{D5CDD505-2E9C-101B-9397-08002B2CF9AE}" pid="63" name="Objective-Old Business Division [system]">
    <vt:lpwstr/>
  </property>
  <property fmtid="{D5CDD505-2E9C-101B-9397-08002B2CF9AE}" pid="64" name="Objective-Old Workgroup [system]">
    <vt:lpwstr/>
  </property>
  <property fmtid="{D5CDD505-2E9C-101B-9397-08002B2CF9AE}" pid="65" name="Objective-Old Section [system]">
    <vt:lpwstr/>
  </property>
  <property fmtid="{D5CDD505-2E9C-101B-9397-08002B2CF9AE}" pid="66" name="Objective-Vital_Record_Indicator [system]">
    <vt:lpwstr>No</vt:lpwstr>
  </property>
  <property fmtid="{D5CDD505-2E9C-101B-9397-08002B2CF9AE}" pid="67" name="Objective-Intranet_Publishing_Requestor [system]">
    <vt:lpwstr>Murray, Neil</vt:lpwstr>
  </property>
  <property fmtid="{D5CDD505-2E9C-101B-9397-08002B2CF9AE}" pid="68" name="Objective-Intranet_Publishing_Requestor_Email [system]">
    <vt:lpwstr>Neil.Murray@sa.gov.au</vt:lpwstr>
  </property>
  <property fmtid="{D5CDD505-2E9C-101B-9397-08002B2CF9AE}" pid="69" name="Objective-Intranet Publisher [system]">
    <vt:lpwstr>CORP BS&amp;AM RIM Intranet Publishing PPGS Document Workflow Group</vt:lpwstr>
  </property>
  <property fmtid="{D5CDD505-2E9C-101B-9397-08002B2CF9AE}" pid="70" name="Objective-Intranet_Publisher_Contact [system]">
    <vt:lpwstr>Phillips, Nicole</vt:lpwstr>
  </property>
  <property fmtid="{D5CDD505-2E9C-101B-9397-08002B2CF9AE}" pid="71" name="Objective-Intranet_Publisher_Email [system]">
    <vt:lpwstr>Nicole.Phillips@sa.gov.au</vt:lpwstr>
  </property>
  <property fmtid="{D5CDD505-2E9C-101B-9397-08002B2CF9AE}" pid="72" name="Objective-Intranet_Display_Name [system]">
    <vt:lpwstr>Cost Recovery Policy GO P 014</vt:lpwstr>
  </property>
  <property fmtid="{D5CDD505-2E9C-101B-9397-08002B2CF9AE}" pid="73" name="Objective-Intranet_Publishing_Requirement [system]">
    <vt:lpwstr>Update Information for Existing Published Document</vt:lpwstr>
  </property>
  <property fmtid="{D5CDD505-2E9C-101B-9397-08002B2CF9AE}" pid="74" name="Objective-Intranet_Publishing_Instructions [system]">
    <vt:lpwstr>Please publish this new version where advised in separate email, and also on the New or Recently Revised PPGS page</vt:lpwstr>
  </property>
  <property fmtid="{D5CDD505-2E9C-101B-9397-08002B2CF9AE}" pid="75" name="Objective-Document Published Version URL Link [system]">
    <vt:lpwstr>https://objectivesag.pirsa.sa.gov.au/id:A756953/document/versions/published</vt:lpwstr>
  </property>
  <property fmtid="{D5CDD505-2E9C-101B-9397-08002B2CF9AE}" pid="76" name="Objective-Intranet URL Keyword [system]">
    <vt:lpwstr>%globals_asset_metadata_PublishedURL%</vt:lpwstr>
  </property>
  <property fmtid="{D5CDD505-2E9C-101B-9397-08002B2CF9AE}" pid="77" name="Objective-Intranet Short Name [system]">
    <vt:lpwstr>A756953</vt:lpwstr>
  </property>
  <property fmtid="{D5CDD505-2E9C-101B-9397-08002B2CF9AE}" pid="78" name="Objective-Intranet_Publishing_Metadata_Schema [system]">
    <vt:lpwstr>73218</vt:lpwstr>
  </property>
  <property fmtid="{D5CDD505-2E9C-101B-9397-08002B2CF9AE}" pid="79" name="Objective-Intranet_Publishing_CSV_File_Operation [system]">
    <vt:lpwstr>E</vt:lpwstr>
  </property>
  <property fmtid="{D5CDD505-2E9C-101B-9397-08002B2CF9AE}" pid="80" name="Objective-Intranet_Asset_ID [system]">
    <vt:lpwstr>81452</vt:lpwstr>
  </property>
  <property fmtid="{D5CDD505-2E9C-101B-9397-08002B2CF9AE}" pid="81" name="Objective-Date_Intranet_Link_Published [system]">
    <vt:filetime>2019-08-27T14:30:00Z</vt:filetime>
  </property>
  <property fmtid="{D5CDD505-2E9C-101B-9397-08002B2CF9AE}" pid="82" name="Objective-Date_Intranet_Link_Next_Review_Due [system]">
    <vt:filetime>2020-06-29T14:30:00Z</vt:filetime>
  </property>
  <property fmtid="{D5CDD505-2E9C-101B-9397-08002B2CF9AE}" pid="83" name="Objective-Date_Intranet_Link_Removed [system]">
    <vt:lpwstr/>
  </property>
  <property fmtid="{D5CDD505-2E9C-101B-9397-08002B2CF9AE}" pid="84" name="Objective-Used By System Admin Only [system]">
    <vt:lpwstr>Public Domain</vt:lpwstr>
  </property>
  <property fmtid="{D5CDD505-2E9C-101B-9397-08002B2CF9AE}" pid="85" name="Objective-Dissemination Limiting Marker (DLM) [system]">
    <vt:lpwstr>10 For Official Use Only</vt:lpwstr>
  </property>
  <property fmtid="{D5CDD505-2E9C-101B-9397-08002B2CF9AE}" pid="86" name="Objective-Alphabetic_Letter_1">
    <vt:lpwstr>C</vt:lpwstr>
  </property>
  <property fmtid="{D5CDD505-2E9C-101B-9397-08002B2CF9AE}" pid="87" name="Objective-Alphabetic_Letter_2">
    <vt:lpwstr>R</vt:lpwstr>
  </property>
  <property fmtid="{D5CDD505-2E9C-101B-9397-08002B2CF9AE}" pid="88" name="Objective-Form or Template ID">
    <vt:lpwstr/>
  </property>
  <property fmtid="{D5CDD505-2E9C-101B-9397-08002B2CF9AE}" pid="89" name="Objective-Date Document Created [system]">
    <vt:lpwstr/>
  </property>
  <property fmtid="{D5CDD505-2E9C-101B-9397-08002B2CF9AE}" pid="90" name="Objective-Confidentiality [system]">
    <vt:lpwstr>02 For Official Use Only</vt:lpwstr>
  </property>
  <property fmtid="{D5CDD505-2E9C-101B-9397-08002B2CF9AE}" pid="91" name="Objective-Internet Publishing Requestor [system]">
    <vt:lpwstr/>
  </property>
  <property fmtid="{D5CDD505-2E9C-101B-9397-08002B2CF9AE}" pid="92" name="Objective-Internet Publishing Requestor Email [system]">
    <vt:lpwstr/>
  </property>
  <property fmtid="{D5CDD505-2E9C-101B-9397-08002B2CF9AE}" pid="93" name="Objective-Internet Publisher Group [system]">
    <vt:lpwstr>CORP ICT Internet Website Publishing Workflow Group</vt:lpwstr>
  </property>
  <property fmtid="{D5CDD505-2E9C-101B-9397-08002B2CF9AE}" pid="94" name="Objective-Internet Publisher Contact [system]">
    <vt:lpwstr>publish, webpublish</vt:lpwstr>
  </property>
  <property fmtid="{D5CDD505-2E9C-101B-9397-08002B2CF9AE}" pid="95" name="Objective-Internet Publisher Email [system]">
    <vt:lpwstr>PIRSA.Webpublish@sa.gov.au</vt:lpwstr>
  </property>
  <property fmtid="{D5CDD505-2E9C-101B-9397-08002B2CF9AE}" pid="96" name="Objective-Internet Friendly Name [system]">
    <vt:lpwstr/>
  </property>
  <property fmtid="{D5CDD505-2E9C-101B-9397-08002B2CF9AE}" pid="97" name="Objective-Internet Document Type [system]">
    <vt:lpwstr/>
  </property>
  <property fmtid="{D5CDD505-2E9C-101B-9397-08002B2CF9AE}" pid="98" name="Objective-Internet Publishing Requirement [system]">
    <vt:lpwstr/>
  </property>
  <property fmtid="{D5CDD505-2E9C-101B-9397-08002B2CF9AE}" pid="99" name="Objective-Internet Publishing Instructions or Page URI [system]">
    <vt:lpwstr/>
  </property>
  <property fmtid="{D5CDD505-2E9C-101B-9397-08002B2CF9AE}" pid="100" name="Objective-Date Document Released [system]">
    <vt:lpwstr/>
  </property>
  <property fmtid="{D5CDD505-2E9C-101B-9397-08002B2CF9AE}" pid="101" name="Objective-Abstract [system]">
    <vt:lpwstr/>
  </property>
  <property fmtid="{D5CDD505-2E9C-101B-9397-08002B2CF9AE}" pid="102" name="Objective-External Link [system]">
    <vt:lpwstr/>
  </property>
  <property fmtid="{D5CDD505-2E9C-101B-9397-08002B2CF9AE}" pid="103" name="Objective-Publish Metadata Only [system]">
    <vt:lpwstr>No</vt:lpwstr>
  </property>
  <property fmtid="{D5CDD505-2E9C-101B-9397-08002B2CF9AE}" pid="104" name="Objective-Generate PDF Rendition [system]">
    <vt:lpwstr>No</vt:lpwstr>
  </property>
  <property fmtid="{D5CDD505-2E9C-101B-9397-08002B2CF9AE}" pid="105" name="Objective-Rendition Object ID [system]">
    <vt:lpwstr/>
  </property>
  <property fmtid="{D5CDD505-2E9C-101B-9397-08002B2CF9AE}" pid="106" name="Objective-Rendition Document Extension [system]">
    <vt:lpwstr/>
  </property>
  <property fmtid="{D5CDD505-2E9C-101B-9397-08002B2CF9AE}" pid="107" name="Objective-Accessibility Reviewed [system]">
    <vt:lpwstr>No</vt:lpwstr>
  </property>
  <property fmtid="{D5CDD505-2E9C-101B-9397-08002B2CF9AE}" pid="108" name="Objective-Accessibility Review Notes [system]">
    <vt:lpwstr/>
  </property>
  <property fmtid="{D5CDD505-2E9C-101B-9397-08002B2CF9AE}" pid="109" name="Objective-Collection or Program Title [system]">
    <vt:lpwstr/>
  </property>
  <property fmtid="{D5CDD505-2E9C-101B-9397-08002B2CF9AE}" pid="110" name="Objective-Sub Collection or Item ID [system]">
    <vt:lpwstr/>
  </property>
  <property fmtid="{D5CDD505-2E9C-101B-9397-08002B2CF9AE}" pid="111" name="Objective-Date Internet Document &amp; CSV File Published on Website [system]">
    <vt:lpwstr/>
  </property>
  <property fmtid="{D5CDD505-2E9C-101B-9397-08002B2CF9AE}" pid="112" name="Objective-Date Internet Document &amp; CSV File Next Review Due [system]">
    <vt:lpwstr/>
  </property>
  <property fmtid="{D5CDD505-2E9C-101B-9397-08002B2CF9AE}" pid="113" name="Objective-Date Internet Document &amp; CSV File Removed from Website [system]">
    <vt:lpwstr/>
  </property>
  <property fmtid="{D5CDD505-2E9C-101B-9397-08002B2CF9AE}" pid="114" name="Objective-Internet Publishing CSV File Operation [system]">
    <vt:lpwstr>A</vt:lpwstr>
  </property>
  <property fmtid="{D5CDD505-2E9C-101B-9397-08002B2CF9AE}" pid="115" name="Objective-Access Use Conditions [system]">
    <vt:lpwstr/>
  </property>
  <property fmtid="{D5CDD505-2E9C-101B-9397-08002B2CF9AE}" pid="116" name="Objective-Date Temporary Value Source Physical Document Scanned [system]">
    <vt:lpwstr/>
  </property>
  <property fmtid="{D5CDD505-2E9C-101B-9397-08002B2CF9AE}" pid="117" name="Objective-Date Temporary Value Source Physical Document Destroyed [system]">
    <vt:lpwstr/>
  </property>
  <property fmtid="{D5CDD505-2E9C-101B-9397-08002B2CF9AE}" pid="118" name="Objective-Date Emailed to DPC [system]">
    <vt:lpwstr/>
  </property>
  <property fmtid="{D5CDD505-2E9C-101B-9397-08002B2CF9AE}" pid="119" name="Objective-Date Emailed to DTF [system]">
    <vt:lpwstr/>
  </property>
  <property fmtid="{D5CDD505-2E9C-101B-9397-08002B2CF9AE}" pid="120" name="Objective-Date Emailed to Ministers Office [system]">
    <vt:lpwstr/>
  </property>
  <property fmtid="{D5CDD505-2E9C-101B-9397-08002B2CF9AE}" pid="121" name="Objective-Connect Creator [system]">
    <vt:lpwstr/>
  </property>
  <property fmtid="{D5CDD505-2E9C-101B-9397-08002B2CF9AE}" pid="122" name="Objective-Date Source Document Scanned [system]">
    <vt:lpwstr/>
  </property>
  <property fmtid="{D5CDD505-2E9C-101B-9397-08002B2CF9AE}" pid="123" name="Objective-Source Document Disposal Status [system]">
    <vt:lpwstr/>
  </property>
  <property fmtid="{D5CDD505-2E9C-101B-9397-08002B2CF9AE}" pid="124" name="Objective-Date Temporary Value Source Document Destroyed [system]">
    <vt:lpwstr/>
  </property>
  <property fmtid="{D5CDD505-2E9C-101B-9397-08002B2CF9AE}" pid="125" name="Objective-Description">
    <vt:lpwstr/>
  </property>
  <property fmtid="{D5CDD505-2E9C-101B-9397-08002B2CF9AE}" pid="126" name="Objective-VersionId">
    <vt:lpwstr>vA7375487</vt:lpwstr>
  </property>
  <property fmtid="{D5CDD505-2E9C-101B-9397-08002B2CF9AE}" pid="127" name="Objective-Agency">
    <vt:lpwstr>Primary Industries and Regions SA</vt:lpwstr>
  </property>
  <property fmtid="{D5CDD505-2E9C-101B-9397-08002B2CF9AE}" pid="128" name="Objective-Business Division">
    <vt:lpwstr>Chief Executives Office CEO</vt:lpwstr>
  </property>
  <property fmtid="{D5CDD505-2E9C-101B-9397-08002B2CF9AE}" pid="129" name="Objective-Workgroup">
    <vt:lpwstr>CEO CE's Office</vt:lpwstr>
  </property>
  <property fmtid="{D5CDD505-2E9C-101B-9397-08002B2CF9AE}" pid="130" name="Objective-Section">
    <vt:lpwstr/>
  </property>
  <property fmtid="{D5CDD505-2E9C-101B-9397-08002B2CF9AE}" pid="131" name="Objective-Document Type">
    <vt:lpwstr>Policy</vt:lpwstr>
  </property>
  <property fmtid="{D5CDD505-2E9C-101B-9397-08002B2CF9AE}" pid="132" name="Objective-Security Classification">
    <vt:lpwstr>01 Public</vt:lpwstr>
  </property>
  <property fmtid="{D5CDD505-2E9C-101B-9397-08002B2CF9AE}" pid="133" name="Objective-Connect Creator">
    <vt:lpwstr/>
  </property>
  <property fmtid="{D5CDD505-2E9C-101B-9397-08002B2CF9AE}" pid="134" name="Objective-Customer Person">
    <vt:lpwstr/>
  </property>
  <property fmtid="{D5CDD505-2E9C-101B-9397-08002B2CF9AE}" pid="135" name="Objective-Customer Organisation">
    <vt:lpwstr/>
  </property>
  <property fmtid="{D5CDD505-2E9C-101B-9397-08002B2CF9AE}" pid="136" name="Objective-Transaction Reference">
    <vt:lpwstr/>
  </property>
  <property fmtid="{D5CDD505-2E9C-101B-9397-08002B2CF9AE}" pid="137" name="Objective-Place Name">
    <vt:lpwstr/>
  </property>
  <property fmtid="{D5CDD505-2E9C-101B-9397-08002B2CF9AE}" pid="138" name="Objective-Description or Summary">
    <vt:lpwstr>This policy establishes principles to enable PIRSA to make consistent decisions on the appropriate recovery of costs of PIRSA's goods and services. It is intended to improve the consistency, transparency and accountability of existing and future cost recovery arrangements, assist in establishing the appropriate levels of service delivery, and promote the efficient and equitable allocation of resources.</vt:lpwstr>
  </property>
  <property fmtid="{D5CDD505-2E9C-101B-9397-08002B2CF9AE}" pid="139" name="Objective-Date Document Created">
    <vt:lpwstr/>
  </property>
  <property fmtid="{D5CDD505-2E9C-101B-9397-08002B2CF9AE}" pid="140" name="Objective-Document Created By">
    <vt:lpwstr/>
  </property>
  <property fmtid="{D5CDD505-2E9C-101B-9397-08002B2CF9AE}" pid="141" name="Objective-Date Source Document Scanned">
    <vt:lpwstr/>
  </property>
  <property fmtid="{D5CDD505-2E9C-101B-9397-08002B2CF9AE}" pid="142" name="Objective-Source Document Disposal Status">
    <vt:lpwstr/>
  </property>
  <property fmtid="{D5CDD505-2E9C-101B-9397-08002B2CF9AE}" pid="143" name="Objective-Date Temporary Value Source Document Destroyed">
    <vt:lpwstr/>
  </property>
  <property fmtid="{D5CDD505-2E9C-101B-9397-08002B2CF9AE}" pid="144" name="Objective-Date Received">
    <vt:lpwstr/>
  </property>
  <property fmtid="{D5CDD505-2E9C-101B-9397-08002B2CF9AE}" pid="145" name="Objective-Action Delegator">
    <vt:lpwstr/>
  </property>
  <property fmtid="{D5CDD505-2E9C-101B-9397-08002B2CF9AE}" pid="146" name="Objective-Action Officer">
    <vt:lpwstr/>
  </property>
  <property fmtid="{D5CDD505-2E9C-101B-9397-08002B2CF9AE}" pid="147" name="Objective-Action Required">
    <vt:lpwstr/>
  </property>
  <property fmtid="{D5CDD505-2E9C-101B-9397-08002B2CF9AE}" pid="148" name="Objective-Date Action Due By">
    <vt:lpwstr/>
  </property>
  <property fmtid="{D5CDD505-2E9C-101B-9397-08002B2CF9AE}" pid="149" name="Objective-Date Action Assigned">
    <vt:lpwstr/>
  </property>
  <property fmtid="{D5CDD505-2E9C-101B-9397-08002B2CF9AE}" pid="150" name="Objective-Action Approved by">
    <vt:lpwstr/>
  </property>
  <property fmtid="{D5CDD505-2E9C-101B-9397-08002B2CF9AE}" pid="151" name="Objective-Date Action Approved">
    <vt:lpwstr/>
  </property>
  <property fmtid="{D5CDD505-2E9C-101B-9397-08002B2CF9AE}" pid="152" name="Objective-Date Interim Reply Sent">
    <vt:lpwstr/>
  </property>
  <property fmtid="{D5CDD505-2E9C-101B-9397-08002B2CF9AE}" pid="153" name="Objective-Date Final Reply Sent">
    <vt:lpwstr/>
  </property>
  <property fmtid="{D5CDD505-2E9C-101B-9397-08002B2CF9AE}" pid="154" name="Objective-Date_Completed_On">
    <vt:lpwstr/>
  </property>
  <property fmtid="{D5CDD505-2E9C-101B-9397-08002B2CF9AE}" pid="155" name="Objective-Intranet_Publishing_Requestor">
    <vt:lpwstr/>
  </property>
  <property fmtid="{D5CDD505-2E9C-101B-9397-08002B2CF9AE}" pid="156" name="Objective-Intranet_Publishing_Requestor_Email">
    <vt:lpwstr/>
  </property>
  <property fmtid="{D5CDD505-2E9C-101B-9397-08002B2CF9AE}" pid="157" name="Objective-Intranet Publisher">
    <vt:lpwstr>CORP ICT Intranet Publishing General Document Workflow Group</vt:lpwstr>
  </property>
  <property fmtid="{D5CDD505-2E9C-101B-9397-08002B2CF9AE}" pid="158" name="Objective-Intranet_Publisher_Contact">
    <vt:lpwstr/>
  </property>
  <property fmtid="{D5CDD505-2E9C-101B-9397-08002B2CF9AE}" pid="159" name="Objective-Intranet_Publisher_Email">
    <vt:lpwstr/>
  </property>
  <property fmtid="{D5CDD505-2E9C-101B-9397-08002B2CF9AE}" pid="160" name="Objective-Intranet_Display_Name">
    <vt:lpwstr/>
  </property>
  <property fmtid="{D5CDD505-2E9C-101B-9397-08002B2CF9AE}" pid="161" name="Objective-Free Text Subjects">
    <vt:lpwstr>cost, recovery, policy, principles, goods, industry, price, pricing, products, services</vt:lpwstr>
  </property>
  <property fmtid="{D5CDD505-2E9C-101B-9397-08002B2CF9AE}" pid="162" name="Objective-Intranet_Publishing_Requirement">
    <vt:lpwstr/>
  </property>
  <property fmtid="{D5CDD505-2E9C-101B-9397-08002B2CF9AE}" pid="163" name="Objective-Intranet_Publishing_Instructions">
    <vt:lpwstr/>
  </property>
  <property fmtid="{D5CDD505-2E9C-101B-9397-08002B2CF9AE}" pid="164" name="Objective-Document Published Version URL Link">
    <vt:lpwstr>https://objectivesag.pirsa.sa.gov.au/id:A3593611/document/versions/published</vt:lpwstr>
  </property>
  <property fmtid="{D5CDD505-2E9C-101B-9397-08002B2CF9AE}" pid="165" name="Objective-Intranet URL Keyword">
    <vt:lpwstr>%globals_asset_metadata_PublishedURL%</vt:lpwstr>
  </property>
  <property fmtid="{D5CDD505-2E9C-101B-9397-08002B2CF9AE}" pid="166" name="Objective-Intranet Short Name">
    <vt:lpwstr>A3593611</vt:lpwstr>
  </property>
  <property fmtid="{D5CDD505-2E9C-101B-9397-08002B2CF9AE}" pid="167" name="Objective-Intranet_Publishing_Metadata_Schema">
    <vt:lpwstr>73217</vt:lpwstr>
  </property>
  <property fmtid="{D5CDD505-2E9C-101B-9397-08002B2CF9AE}" pid="168" name="Objective-Intranet_Publishing_CSV_File_Operation">
    <vt:lpwstr>E</vt:lpwstr>
  </property>
  <property fmtid="{D5CDD505-2E9C-101B-9397-08002B2CF9AE}" pid="169" name="Objective-Intranet_Asset_ID">
    <vt:lpwstr/>
  </property>
  <property fmtid="{D5CDD505-2E9C-101B-9397-08002B2CF9AE}" pid="170" name="Objective-Date_Intranet_Link_Published">
    <vt:lpwstr/>
  </property>
  <property fmtid="{D5CDD505-2E9C-101B-9397-08002B2CF9AE}" pid="171" name="Objective-Date_Intranet_Link_Next_Review_Due">
    <vt:lpwstr/>
  </property>
  <property fmtid="{D5CDD505-2E9C-101B-9397-08002B2CF9AE}" pid="172" name="Objective-Date_Intranet_Link_Removed">
    <vt:lpwstr/>
  </property>
  <property fmtid="{D5CDD505-2E9C-101B-9397-08002B2CF9AE}" pid="173" name="Objective-Internet Publishing Requestor">
    <vt:lpwstr>Murray, Neil</vt:lpwstr>
  </property>
  <property fmtid="{D5CDD505-2E9C-101B-9397-08002B2CF9AE}" pid="174" name="Objective-Internet Publishing Requestor Email">
    <vt:lpwstr>Neil.Murray@sa.gov.au</vt:lpwstr>
  </property>
  <property fmtid="{D5CDD505-2E9C-101B-9397-08002B2CF9AE}" pid="175" name="Objective-Internet Publisher Group">
    <vt:lpwstr>CORP ICT Internet Website Publishing Workflow Group</vt:lpwstr>
  </property>
  <property fmtid="{D5CDD505-2E9C-101B-9397-08002B2CF9AE}" pid="176" name="Objective-Internet Publisher Contact">
    <vt:lpwstr>Bennett, Corinna</vt:lpwstr>
  </property>
  <property fmtid="{D5CDD505-2E9C-101B-9397-08002B2CF9AE}" pid="177" name="Objective-Internet Publisher Email">
    <vt:lpwstr>Corinna.Bennett6@sa.gov.au</vt:lpwstr>
  </property>
  <property fmtid="{D5CDD505-2E9C-101B-9397-08002B2CF9AE}" pid="178" name="Objective-Internet Friendly Name">
    <vt:lpwstr>Cost Recovery Policy</vt:lpwstr>
  </property>
  <property fmtid="{D5CDD505-2E9C-101B-9397-08002B2CF9AE}" pid="179" name="Objective-Internet Document Type">
    <vt:lpwstr>Legislation or Policy</vt:lpwstr>
  </property>
  <property fmtid="{D5CDD505-2E9C-101B-9397-08002B2CF9AE}" pid="180" name="Objective-Internet Publishing Requirement">
    <vt:lpwstr>Update Existing Website Document &amp; Information Published</vt:lpwstr>
  </property>
  <property fmtid="{D5CDD505-2E9C-101B-9397-08002B2CF9AE}" pid="181" name="Objective-Internet Publishing Instructions or Page URI">
    <vt:lpwstr>Please update the file PIRSA Cost Recovery Policy GO P 014 - currently published on the PIRSA Website &gt; About Us &gt; Corporate Policies website http://pir.sa.gov.au/top_menu/about_us/corporate_policies under the 'Cost recovery policy' heading.No other changes to the website content are required.  Please contact me if you need any further information.(Previous instructions here which I have edited related to replacing the document with a new document in Objective. I've edited as best I can but not sure what info normally goes in here....)</vt:lpwstr>
  </property>
  <property fmtid="{D5CDD505-2E9C-101B-9397-08002B2CF9AE}" pid="182" name="Objective-Date Document Released">
    <vt:filetime>2019-08-22T14:30:00Z</vt:filetime>
  </property>
  <property fmtid="{D5CDD505-2E9C-101B-9397-08002B2CF9AE}" pid="183" name="Objective-Abstract">
    <vt:lpwstr/>
  </property>
  <property fmtid="{D5CDD505-2E9C-101B-9397-08002B2CF9AE}" pid="184" name="Objective-External Link">
    <vt:lpwstr/>
  </property>
  <property fmtid="{D5CDD505-2E9C-101B-9397-08002B2CF9AE}" pid="185" name="Objective-Publish Metadata Only">
    <vt:lpwstr>No</vt:lpwstr>
  </property>
  <property fmtid="{D5CDD505-2E9C-101B-9397-08002B2CF9AE}" pid="186" name="Objective-Generate PDF Rendition">
    <vt:lpwstr>No</vt:lpwstr>
  </property>
  <property fmtid="{D5CDD505-2E9C-101B-9397-08002B2CF9AE}" pid="187" name="Objective-Rendition Object ID">
    <vt:lpwstr/>
  </property>
  <property fmtid="{D5CDD505-2E9C-101B-9397-08002B2CF9AE}" pid="188" name="Objective-Rendition Document Extension">
    <vt:lpwstr/>
  </property>
  <property fmtid="{D5CDD505-2E9C-101B-9397-08002B2CF9AE}" pid="189" name="Objective-Accessibility Reviewed">
    <vt:lpwstr>Yes</vt:lpwstr>
  </property>
  <property fmtid="{D5CDD505-2E9C-101B-9397-08002B2CF9AE}" pid="190" name="Objective-Accessibility Review Notes">
    <vt:lpwstr/>
  </property>
  <property fmtid="{D5CDD505-2E9C-101B-9397-08002B2CF9AE}" pid="191" name="Objective-Collection or Program Title">
    <vt:lpwstr/>
  </property>
  <property fmtid="{D5CDD505-2E9C-101B-9397-08002B2CF9AE}" pid="192" name="Objective-Sub Collection or Item ID">
    <vt:lpwstr/>
  </property>
  <property fmtid="{D5CDD505-2E9C-101B-9397-08002B2CF9AE}" pid="193" name="Objective-Date Internet Document &amp; CSV File Published on Website">
    <vt:filetime>2019-08-27T14:30:00Z</vt:filetime>
  </property>
  <property fmtid="{D5CDD505-2E9C-101B-9397-08002B2CF9AE}" pid="194" name="Objective-Date Internet Document &amp; CSV File Next Review Due">
    <vt:filetime>2020-02-27T14:30:00Z</vt:filetime>
  </property>
  <property fmtid="{D5CDD505-2E9C-101B-9397-08002B2CF9AE}" pid="195" name="Objective-Date Internet Document &amp; CSV File Removed from Website">
    <vt:lpwstr/>
  </property>
  <property fmtid="{D5CDD505-2E9C-101B-9397-08002B2CF9AE}" pid="196" name="Objective-Internet Publishing CSV File Operation">
    <vt:lpwstr>E</vt:lpwstr>
  </property>
  <property fmtid="{D5CDD505-2E9C-101B-9397-08002B2CF9AE}" pid="197" name="Objective-Covers Period From">
    <vt:lpwstr/>
  </property>
  <property fmtid="{D5CDD505-2E9C-101B-9397-08002B2CF9AE}" pid="198" name="Objective-Covers Period To">
    <vt:lpwstr/>
  </property>
  <property fmtid="{D5CDD505-2E9C-101B-9397-08002B2CF9AE}" pid="199" name="Objective-Access Rights">
    <vt:lpwstr>Closed</vt:lpwstr>
  </property>
  <property fmtid="{D5CDD505-2E9C-101B-9397-08002B2CF9AE}" pid="200" name="Objective-Vital_Record_Indicator">
    <vt:lpwstr>No</vt:lpwstr>
  </property>
  <property fmtid="{D5CDD505-2E9C-101B-9397-08002B2CF9AE}" pid="201" name="Objective-Access Use Conditions">
    <vt:lpwstr/>
  </property>
  <property fmtid="{D5CDD505-2E9C-101B-9397-08002B2CF9AE}" pid="202" name="Objective-Access Security Review Due Date">
    <vt:lpwstr/>
  </property>
  <property fmtid="{D5CDD505-2E9C-101B-9397-08002B2CF9AE}" pid="203" name="Objective-Vital Records Review Due Date">
    <vt:lpwstr/>
  </property>
  <property fmtid="{D5CDD505-2E9C-101B-9397-08002B2CF9AE}" pid="204" name="Objective-Internal Reference">
    <vt:lpwstr/>
  </property>
  <property fmtid="{D5CDD505-2E9C-101B-9397-08002B2CF9AE}" pid="205" name="Objective-Media_Storage_Format">
    <vt:lpwstr>Text</vt:lpwstr>
  </property>
  <property fmtid="{D5CDD505-2E9C-101B-9397-08002B2CF9AE}" pid="206" name="Objective-Jurisdiction">
    <vt:lpwstr>SA</vt:lpwstr>
  </property>
  <property fmtid="{D5CDD505-2E9C-101B-9397-08002B2CF9AE}" pid="207" name="Objective-Language">
    <vt:lpwstr>English (en)</vt:lpwstr>
  </property>
  <property fmtid="{D5CDD505-2E9C-101B-9397-08002B2CF9AE}" pid="208" name="Objective-Intellectual_Property_Rights">
    <vt:lpwstr>SA Government</vt:lpwstr>
  </property>
  <property fmtid="{D5CDD505-2E9C-101B-9397-08002B2CF9AE}" pid="209" name="Objective-Date Emailed to DPC">
    <vt:lpwstr/>
  </property>
  <property fmtid="{D5CDD505-2E9C-101B-9397-08002B2CF9AE}" pid="210" name="Objective-Date Emailed to DTF">
    <vt:lpwstr/>
  </property>
  <property fmtid="{D5CDD505-2E9C-101B-9397-08002B2CF9AE}" pid="211" name="Objective-Date Emailed to Ministers Office">
    <vt:lpwstr/>
  </property>
  <property fmtid="{D5CDD505-2E9C-101B-9397-08002B2CF9AE}" pid="212" name="Objective-Disposal Reasons">
    <vt:lpwstr/>
  </property>
  <property fmtid="{D5CDD505-2E9C-101B-9397-08002B2CF9AE}" pid="213" name="Objective-Date to be Exported">
    <vt:lpwstr/>
  </property>
  <property fmtid="{D5CDD505-2E9C-101B-9397-08002B2CF9AE}" pid="214" name="Objective-Used By System Admin Only">
    <vt:lpwstr>Public Domain</vt:lpwstr>
  </property>
  <property fmtid="{D5CDD505-2E9C-101B-9397-08002B2CF9AE}" pid="215" name="Objective-Old Agency">
    <vt:lpwstr/>
  </property>
  <property fmtid="{D5CDD505-2E9C-101B-9397-08002B2CF9AE}" pid="216" name="Objective-Old Business Division">
    <vt:lpwstr/>
  </property>
  <property fmtid="{D5CDD505-2E9C-101B-9397-08002B2CF9AE}" pid="217" name="Objective-Old Workgroup">
    <vt:lpwstr/>
  </property>
  <property fmtid="{D5CDD505-2E9C-101B-9397-08002B2CF9AE}" pid="218" name="Objective-Old Section">
    <vt:lpwstr/>
  </property>
  <property fmtid="{D5CDD505-2E9C-101B-9397-08002B2CF9AE}" pid="219" name="Objective-Confidentiality">
    <vt:lpwstr>02 For Official Use Only</vt:lpwstr>
  </property>
  <property fmtid="{D5CDD505-2E9C-101B-9397-08002B2CF9AE}" pid="220" name="Objective-PPGS Registration">
    <vt:lpwstr>Cost Recovery Policy</vt:lpwstr>
  </property>
  <property fmtid="{D5CDD505-2E9C-101B-9397-08002B2CF9AE}" pid="221" name="Objective-PPGS Status">
    <vt:lpwstr>Review Due</vt:lpwstr>
  </property>
  <property fmtid="{D5CDD505-2E9C-101B-9397-08002B2CF9AE}" pid="222" name="Objective-PPGS ID">
    <vt:lpwstr>GO P 014</vt:lpwstr>
  </property>
  <property fmtid="{D5CDD505-2E9C-101B-9397-08002B2CF9AE}" pid="223" name="Objective-PPGS Audience">
    <vt:lpwstr>PIRSA Users</vt:lpwstr>
  </property>
  <property fmtid="{D5CDD505-2E9C-101B-9397-08002B2CF9AE}" pid="224" name="Objective-Responsible Position">
    <vt:lpwstr>Executive Director Corporate Services</vt:lpwstr>
  </property>
  <property fmtid="{D5CDD505-2E9C-101B-9397-08002B2CF9AE}" pid="225" name="Objective-PPGS Owner Name">
    <vt:lpwstr>Griffiths, Michelle</vt:lpwstr>
  </property>
  <property fmtid="{D5CDD505-2E9C-101B-9397-08002B2CF9AE}" pid="226" name="Objective-Responsible Workgroup">
    <vt:lpwstr>CORP Corporate Services &amp; Governance</vt:lpwstr>
  </property>
  <property fmtid="{D5CDD505-2E9C-101B-9397-08002B2CF9AE}" pid="227" name="Objective-Responsible Section">
    <vt:lpwstr/>
  </property>
  <property fmtid="{D5CDD505-2E9C-101B-9397-08002B2CF9AE}" pid="228" name="Objective-Contact">
    <vt:lpwstr>Griffiths, Michelle</vt:lpwstr>
  </property>
  <property fmtid="{D5CDD505-2E9C-101B-9397-08002B2CF9AE}" pid="229" name="Objective-Contact Position">
    <vt:lpwstr>Executive Director Corporate Services</vt:lpwstr>
  </property>
  <property fmtid="{D5CDD505-2E9C-101B-9397-08002B2CF9AE}" pid="230" name="Objective-Contact Number">
    <vt:lpwstr>8429 2152</vt:lpwstr>
  </property>
  <property fmtid="{D5CDD505-2E9C-101B-9397-08002B2CF9AE}" pid="231" name="Objective-Contact Email">
    <vt:lpwstr>michelle.griffiths@sa.gov.au</vt:lpwstr>
  </property>
  <property fmtid="{D5CDD505-2E9C-101B-9397-08002B2CF9AE}" pid="232" name="Objective-Divisional Business Manager">
    <vt:lpwstr>Brine, Billy</vt:lpwstr>
  </property>
  <property fmtid="{D5CDD505-2E9C-101B-9397-08002B2CF9AE}" pid="233" name="Objective-Published_PPGS_Version_Number">
    <vt:lpwstr>1.6</vt:lpwstr>
  </property>
  <property fmtid="{D5CDD505-2E9C-101B-9397-08002B2CF9AE}" pid="234" name="Objective-PPGS_Template_Usage">
    <vt:lpwstr>Old PPGS Template</vt:lpwstr>
  </property>
  <property fmtid="{D5CDD505-2E9C-101B-9397-08002B2CF9AE}" pid="235" name="Objective-Date_Feedback_Due">
    <vt:lpwstr/>
  </property>
  <property fmtid="{D5CDD505-2E9C-101B-9397-08002B2CF9AE}" pid="236" name="Objective-Date Approved">
    <vt:filetime>2019-05-07T14:30:00Z</vt:filetime>
  </property>
  <property fmtid="{D5CDD505-2E9C-101B-9397-08002B2CF9AE}" pid="237" name="Objective-Date_Review_Due">
    <vt:filetime>2020-06-29T14:30:00Z</vt:filetime>
  </property>
  <property fmtid="{D5CDD505-2E9C-101B-9397-08002B2CF9AE}" pid="238" name="Objective-Date Review Completed">
    <vt:lpwstr/>
  </property>
  <property fmtid="{D5CDD505-2E9C-101B-9397-08002B2CF9AE}" pid="239" name="Objective-Date Revoked">
    <vt:lpwstr/>
  </property>
  <property fmtid="{D5CDD505-2E9C-101B-9397-08002B2CF9AE}" pid="240" name="Objective-Risk Rating">
    <vt:lpwstr/>
  </property>
  <property fmtid="{D5CDD505-2E9C-101B-9397-08002B2CF9AE}" pid="241" name="Objective-Review Frequency">
    <vt:lpwstr/>
  </property>
  <property fmtid="{D5CDD505-2E9C-101B-9397-08002B2CF9AE}" pid="242" name="Objective-Special Notes">
    <vt:lpwstr/>
  </property>
  <property fmtid="{D5CDD505-2E9C-101B-9397-08002B2CF9AE}" pid="243" name="Objective-Date WF Review Due Reminder Sent">
    <vt:lpwstr/>
  </property>
</Properties>
</file>